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ESCUELA NORMAL DE EDUCACIÓN PREESCOLAR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-899794</wp:posOffset>
            </wp:positionH>
            <wp:positionV relativeFrom="paragraph">
              <wp:posOffset>-1080653</wp:posOffset>
            </wp:positionV>
            <wp:extent cx="10707288" cy="7544248"/>
            <wp:effectExtent b="0" l="0" r="0" t="0"/>
            <wp:wrapNone/>
            <wp:docPr descr="Pin de Sofia Michelle en ppt backgrounds ୨୧ | Fondos de pantalla de power  point, Fondos de presentacion, Fondos para diapositivas" id="7" name="image1.png"/>
            <a:graphic>
              <a:graphicData uri="http://schemas.openxmlformats.org/drawingml/2006/picture">
                <pic:pic>
                  <pic:nvPicPr>
                    <pic:cNvPr descr="Pin de Sofia Michelle en ppt backgrounds ୨୧ | Fondos de pantalla de power  point, Fondos de presentacion, Fondos para diapositiva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7288" cy="7544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-515157</wp:posOffset>
                </wp:positionV>
                <wp:extent cx="9642764" cy="6384174"/>
                <wp:effectExtent b="17145" l="0" r="158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764" cy="63841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-515157</wp:posOffset>
                </wp:positionV>
                <wp:extent cx="9658639" cy="6401319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639" cy="64013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330200</wp:posOffset>
            </wp:positionH>
            <wp:positionV relativeFrom="paragraph">
              <wp:posOffset>-8254</wp:posOffset>
            </wp:positionV>
            <wp:extent cx="1482090" cy="1101725"/>
            <wp:effectExtent b="0" l="0" r="0" t="0"/>
            <wp:wrapNone/>
            <wp:docPr descr="Una señal con letras y números&#10;&#10;Descripción generada automáticamente con confianza baja" id="5" name="image2.png"/>
            <a:graphic>
              <a:graphicData uri="http://schemas.openxmlformats.org/drawingml/2006/picture">
                <pic:pic>
                  <pic:nvPicPr>
                    <pic:cNvPr descr="Una señal con letras y números&#10;&#10;Descripción generada automáticamente con confianza baj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101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Licenciatura en Educación preescolar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Ciclo escolar 2020 – 2021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PLANEACIÓN Y EVALUACIÓN 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“CUADRO DE ASCPETOS DEL DIAGNOSTICO DEL NIÑO”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Nombres de las alumnas: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Adamary Sarahi Arizpe Alvarez ·2                        Paulina Garcia Sanchez ·8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Jimena Sarahi Gaytan Espinoza ·9                      Melissa Martínez Aldaco ·12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Daisy Carolina Pérez Nuncio ·17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  <w:br w:type="textWrapping"/>
        <w:t xml:space="preserve">Grupo: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2ºA 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Docente: 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Gerardo Garza Alcalá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  <w:br w:type="textWrapping"/>
        <w:t xml:space="preserve"> </w:t>
        <w:br w:type="textWrapping"/>
        <w:t xml:space="preserve">Unidad de aprendizaje II: “De la organización del proceso de enseñanza a la evaluación del aprendizaje de los alumnos: bases y fundamentos”  </w:t>
        <w:br w:type="textWrapping"/>
        <w:t xml:space="preserve"> </w:t>
        <w:br w:type="textWrapping"/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Competencias de la unidad de aprendizaje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 diagnósticos de los intereses, motivaciones y necesidades formativas de los alumnos para organizar las actividades de aprendizaje, así como las adecuaciones curriculares y didácticas pertinentes.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Selecciona estrategias que favorecen el desarrollo intelectual, físico, social y emocional de los alumnos para procurar el logro de los aprendizajes.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2591435</wp:posOffset>
            </wp:positionH>
            <wp:positionV relativeFrom="paragraph">
              <wp:posOffset>257348</wp:posOffset>
            </wp:positionV>
            <wp:extent cx="3690620" cy="3574242"/>
            <wp:effectExtent b="0" l="0" r="0" t="0"/>
            <wp:wrapNone/>
            <wp:docPr descr="Día Del Niño PNG Imágenes Transparentes | Vectores y Archivos PSD |  Descarga Gratuita en Pngtree | Día del niño, Niños de la mano, Dibujos para  niños" id="6" name="image3.png"/>
            <a:graphic>
              <a:graphicData uri="http://schemas.openxmlformats.org/drawingml/2006/picture">
                <pic:pic>
                  <pic:nvPicPr>
                    <pic:cNvPr descr="Día Del Niño PNG Imágenes Transparentes | Vectores y Archivos PSD |  Descarga Gratuita en Pngtree | Día del niño, Niños de la mano, Dibujos para  niños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0620" cy="35742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SALTILLO, COAHUILA DE ZARAGOZA</w:t>
        <w:tab/>
        <w:t xml:space="preserve">                                                                                                   04 Junio 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Overlock" w:cs="Overlock" w:eastAsia="Overlock" w:hAnsi="Overlock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-899794</wp:posOffset>
            </wp:positionH>
            <wp:positionV relativeFrom="paragraph">
              <wp:posOffset>-1066683</wp:posOffset>
            </wp:positionV>
            <wp:extent cx="10689426" cy="7514590"/>
            <wp:effectExtent b="0" l="0" r="0" t="0"/>
            <wp:wrapNone/>
            <wp:docPr descr="Pin de Sofia Michelle en ppt backgrounds ୨୧ | Fondos de pantalla de power  point, Fondos de presentacion, Fondos para diapositivas" id="8" name="image1.png"/>
            <a:graphic>
              <a:graphicData uri="http://schemas.openxmlformats.org/drawingml/2006/picture">
                <pic:pic>
                  <pic:nvPicPr>
                    <pic:cNvPr descr="Pin de Sofia Michelle en ppt backgrounds ୨୧ | Fondos de pantalla de power  point, Fondos de presentacion, Fondos para diapositiva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9426" cy="7514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-401665</wp:posOffset>
                </wp:positionV>
                <wp:extent cx="9360131" cy="6151419"/>
                <wp:effectExtent b="20955" l="0" r="1270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131" cy="61514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-401665</wp:posOffset>
                </wp:positionV>
                <wp:extent cx="9372831" cy="6172374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831" cy="61723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center"/>
        <w:rPr>
          <w:rFonts w:ascii="Overlock" w:cs="Overlock" w:eastAsia="Overlock" w:hAnsi="Overloc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Overlock" w:cs="Overlock" w:eastAsia="Overlock" w:hAnsi="Overlock"/>
          <w:b w:val="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rtl w:val="0"/>
        </w:rPr>
        <w:t xml:space="preserve">Unidad de aprendizaje II: “De la organización del proceso de enseñanza a la evaluación del aprendizaje de los alumnos: bases y fundamentos”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Competencias de la unidad de aprendizaje: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49" w:right="0" w:hanging="360"/>
        <w:jc w:val="center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Elabora diagnósticos de los intereses, motivaciones y necesidades formativas de los alumnos para organizar las actividades de aprendizaje, así como las adecuaciones curriculares y didácticas pertinentes.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49" w:right="0" w:hanging="360"/>
        <w:jc w:val="center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Selecciona estrategias que favorecen el desarrollo intelectual, físico, social y emocional de los alumnos para procurar el logro de los aprendizajes.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49" w:right="0" w:hanging="360"/>
        <w:jc w:val="center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000000" w:rsidDel="00000000" w:rsidP="00000000" w:rsidRDefault="00000000" w:rsidRPr="00000000" w14:paraId="00000019">
      <w:pPr>
        <w:jc w:val="center"/>
        <w:rPr>
          <w:rFonts w:ascii="Avenir" w:cs="Avenir" w:eastAsia="Avenir" w:hAnsi="Avenir"/>
          <w:i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venir" w:cs="Avenir" w:eastAsia="Avenir" w:hAnsi="Avenir"/>
          <w:i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venir" w:cs="Avenir" w:eastAsia="Avenir" w:hAnsi="Avenir"/>
          <w:i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venir" w:cs="Avenir" w:eastAsia="Avenir" w:hAnsi="Avenir"/>
          <w:i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c00000"/>
          <w:sz w:val="28"/>
          <w:szCs w:val="28"/>
          <w:u w:val="none"/>
          <w:shd w:fill="auto" w:val="clear"/>
          <w:vertAlign w:val="baseline"/>
          <w:rtl w:val="0"/>
        </w:rPr>
        <w:t xml:space="preserve">  “CUADRO DE ASCPETOS DEL DIAGNOSTICO DEL NIÑO”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-896619</wp:posOffset>
            </wp:positionH>
            <wp:positionV relativeFrom="paragraph">
              <wp:posOffset>-1066164</wp:posOffset>
            </wp:positionV>
            <wp:extent cx="10689426" cy="7514590"/>
            <wp:effectExtent b="0" l="0" r="0" t="0"/>
            <wp:wrapNone/>
            <wp:docPr descr="Pin de Sofia Michelle en ppt backgrounds ୨୧ | Fondos de pantalla de power  point, Fondos de presentacion, Fondos para diapositivas" id="4" name="image1.png"/>
            <a:graphic>
              <a:graphicData uri="http://schemas.openxmlformats.org/drawingml/2006/picture">
                <pic:pic>
                  <pic:nvPicPr>
                    <pic:cNvPr descr="Pin de Sofia Michelle en ppt backgrounds ୨୧ | Fondos de pantalla de power  point, Fondos de presentacion, Fondos para diapositiva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9426" cy="7514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-242569</wp:posOffset>
                </wp:positionH>
                <wp:positionV relativeFrom="paragraph">
                  <wp:posOffset>-403859</wp:posOffset>
                </wp:positionV>
                <wp:extent cx="9525000" cy="6151245"/>
                <wp:effectExtent b="20955" l="0" r="190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61512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-242569</wp:posOffset>
                </wp:positionH>
                <wp:positionV relativeFrom="paragraph">
                  <wp:posOffset>-403859</wp:posOffset>
                </wp:positionV>
                <wp:extent cx="9544050" cy="61722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4050" cy="617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jc w:val="center"/>
        <w:rPr>
          <w:rFonts w:ascii="Avenir" w:cs="Avenir" w:eastAsia="Avenir" w:hAnsi="Avenir"/>
          <w:i w:val="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664"/>
        <w:gridCol w:w="4665"/>
        <w:gridCol w:w="4665"/>
        <w:tblGridChange w:id="0">
          <w:tblGrid>
            <w:gridCol w:w="4664"/>
            <w:gridCol w:w="4665"/>
            <w:gridCol w:w="4665"/>
          </w:tblGrid>
        </w:tblGridChange>
      </w:tblGrid>
      <w:tr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Overlock" w:cs="Overlock" w:eastAsia="Overlock" w:hAnsi="Overlock"/>
                <w:b w:val="1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i w:val="0"/>
                <w:color w:val="000000"/>
                <w:sz w:val="32"/>
                <w:szCs w:val="32"/>
                <w:rtl w:val="0"/>
              </w:rPr>
              <w:t xml:space="preserve">FAMILIA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verlock" w:cs="Overlock" w:eastAsia="Overlock" w:hAnsi="Overlock"/>
                <w:b w:val="1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i w:val="0"/>
                <w:color w:val="000000"/>
                <w:sz w:val="32"/>
                <w:szCs w:val="32"/>
                <w:rtl w:val="0"/>
              </w:rPr>
              <w:t xml:space="preserve">DEL NIÑO 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verlock" w:cs="Overlock" w:eastAsia="Overlock" w:hAnsi="Overlock"/>
                <w:b w:val="1"/>
                <w:i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i w:val="0"/>
                <w:color w:val="000000"/>
                <w:sz w:val="32"/>
                <w:szCs w:val="32"/>
                <w:rtl w:val="0"/>
              </w:rPr>
              <w:t xml:space="preserve">COMUNIDAD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Tipo de familia: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Estado civil de los padres: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Número de integrantes en la familia: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Lugar de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trabajo del padre: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Lugar de trabajo de la madre: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Edad del padre: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Edad de la madre: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Persona al cuidado del niño: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Teléfono del tutor: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Número de hijos: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Edades: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Relación de los hijos: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Relación de los padres con los hijos: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Habitaciones en la casa: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Nivel de estudios del padre: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Nivel de estudios de la madre:</w:t>
            </w:r>
          </w:p>
          <w:p w:rsidR="00000000" w:rsidDel="00000000" w:rsidP="00000000" w:rsidRDefault="00000000" w:rsidRPr="00000000" w14:paraId="00000032">
            <w:pPr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Estado de salud: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Alergias: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Edad: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Altura: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Peso: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Aspecto físico: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Aspecto fisicomotor: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Gustos: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Actividades extracurriculares: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Habilidades: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Destrezas: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Enfermedades crónicas: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Enfermedades cardiovasculares: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Ubicación de la casa: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Ambiente de la comunidad: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Servicios con los que cuentan: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  <w:rtl w:val="0"/>
              </w:rPr>
              <w:t xml:space="preserve">Servicio de agua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  <w:rtl w:val="0"/>
              </w:rPr>
              <w:t xml:space="preserve">Servicio de luz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  <w:rtl w:val="0"/>
              </w:rPr>
              <w:t xml:space="preserve">Servicio de drenaje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  <w:rtl w:val="0"/>
              </w:rPr>
              <w:t xml:space="preserve">Servicio de teléfono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</w:rPr>
            </w:pPr>
            <w:r w:rsidDel="00000000" w:rsidR="00000000" w:rsidRPr="00000000">
              <w:rPr>
                <w:rFonts w:ascii="Avenir" w:cs="Avenir" w:eastAsia="Avenir" w:hAnsi="Avenir"/>
                <w:i w:val="0"/>
                <w:color w:val="404040"/>
                <w:sz w:val="24"/>
                <w:szCs w:val="24"/>
                <w:rtl w:val="0"/>
              </w:rPr>
              <w:t xml:space="preserve">Servicio de 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Alumbrado en calles: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Condiciones de calles: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Condiciones de banquetas: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Establecimientos cerca: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Áreas de diversión cercanas: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40404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Relación con vecinos: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venir" w:cs="Avenir" w:eastAsia="Avenir" w:hAnsi="Avenir"/>
                <w:i w:val="0"/>
                <w:color w:val="40404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i w:val="1"/>
          <w:color w:val="40404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/>
  <w:font w:name="Avenir"/>
  <w:font w:name="Arial"/>
  <w:font w:name="Quattrocento Sans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49" w:hanging="360"/>
      </w:pPr>
      <w:rPr>
        <w:rFonts w:ascii="Noto Sans Symbols" w:cs="Noto Sans Symbols" w:eastAsia="Noto Sans Symbols" w:hAnsi="Noto Sans Symbols"/>
        <w:color w:val="000000"/>
        <w:sz w:val="30"/>
        <w:szCs w:val="30"/>
      </w:rPr>
    </w:lvl>
    <w:lvl w:ilvl="1">
      <w:start w:val="1"/>
      <w:numFmt w:val="lowerLetter"/>
      <w:lvlText w:val="%2."/>
      <w:lvlJc w:val="left"/>
      <w:pPr>
        <w:ind w:left="1069" w:hanging="360"/>
      </w:pPr>
      <w:rPr/>
    </w:lvl>
    <w:lvl w:ilvl="2">
      <w:start w:val="1"/>
      <w:numFmt w:val="lowerRoman"/>
      <w:lvlText w:val="%3."/>
      <w:lvlJc w:val="right"/>
      <w:pPr>
        <w:ind w:left="1789" w:hanging="180"/>
      </w:pPr>
      <w:rPr/>
    </w:lvl>
    <w:lvl w:ilvl="3">
      <w:start w:val="1"/>
      <w:numFmt w:val="decimal"/>
      <w:lvlText w:val="%4."/>
      <w:lvlJc w:val="left"/>
      <w:pPr>
        <w:ind w:left="2509" w:hanging="360"/>
      </w:pPr>
      <w:rPr/>
    </w:lvl>
    <w:lvl w:ilvl="4">
      <w:start w:val="1"/>
      <w:numFmt w:val="lowerLetter"/>
      <w:lvlText w:val="%5."/>
      <w:lvlJc w:val="left"/>
      <w:pPr>
        <w:ind w:left="3229" w:hanging="360"/>
      </w:pPr>
      <w:rPr/>
    </w:lvl>
    <w:lvl w:ilvl="5">
      <w:start w:val="1"/>
      <w:numFmt w:val="lowerRoman"/>
      <w:lvlText w:val="%6."/>
      <w:lvlJc w:val="right"/>
      <w:pPr>
        <w:ind w:left="3949" w:hanging="180"/>
      </w:pPr>
      <w:rPr/>
    </w:lvl>
    <w:lvl w:ilvl="6">
      <w:start w:val="1"/>
      <w:numFmt w:val="decimal"/>
      <w:lvlText w:val="%7."/>
      <w:lvlJc w:val="left"/>
      <w:pPr>
        <w:ind w:left="4669" w:hanging="360"/>
      </w:pPr>
      <w:rPr/>
    </w:lvl>
    <w:lvl w:ilvl="7">
      <w:start w:val="1"/>
      <w:numFmt w:val="lowerLetter"/>
      <w:lvlText w:val="%8."/>
      <w:lvlJc w:val="left"/>
      <w:pPr>
        <w:ind w:left="5389" w:hanging="360"/>
      </w:pPr>
      <w:rPr/>
    </w:lvl>
    <w:lvl w:ilvl="8">
      <w:start w:val="1"/>
      <w:numFmt w:val="lowerRoman"/>
      <w:lvlText w:val="%9."/>
      <w:lvlJc w:val="right"/>
      <w:pPr>
        <w:ind w:left="610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venir" w:cs="Avenir" w:eastAsia="Avenir" w:hAnsi="Avenir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