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6F" w:rsidRDefault="002B7E6F" w:rsidP="002B7E6F">
      <w:pPr>
        <w:spacing w:line="360" w:lineRule="auto"/>
        <w:jc w:val="center"/>
        <w:rPr>
          <w:rFonts w:ascii="Arial" w:hAnsi="Arial" w:cs="Arial"/>
          <w:b/>
          <w:sz w:val="24"/>
        </w:rPr>
      </w:pPr>
    </w:p>
    <w:p w:rsidR="002B7E6F" w:rsidRPr="000C7EB8" w:rsidRDefault="002B7E6F" w:rsidP="002B7E6F">
      <w:pPr>
        <w:spacing w:line="360" w:lineRule="auto"/>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0EB67ED5" wp14:editId="0A2C5C9E">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Trabajo:</w:t>
      </w:r>
      <w:r w:rsidRPr="002B7E6F">
        <w:rPr>
          <w:rFonts w:ascii="Arial" w:hAnsi="Arial" w:cs="Arial"/>
          <w:sz w:val="24"/>
        </w:rPr>
        <w:t xml:space="preserve"> </w:t>
      </w:r>
      <w:hyperlink r:id="rId5" w:history="1">
        <w:r w:rsidRPr="002B7E6F">
          <w:rPr>
            <w:rStyle w:val="Hipervnculo"/>
            <w:rFonts w:ascii="Arial" w:hAnsi="Arial" w:cs="Arial"/>
            <w:color w:val="000000"/>
            <w:u w:val="none"/>
          </w:rPr>
          <w:t xml:space="preserve">Cuadro de aspectos del </w:t>
        </w:r>
        <w:r w:rsidRPr="002B7E6F">
          <w:rPr>
            <w:rStyle w:val="Hipervnculo"/>
            <w:rFonts w:ascii="Arial" w:hAnsi="Arial" w:cs="Arial"/>
            <w:color w:val="000000"/>
            <w:u w:val="none"/>
          </w:rPr>
          <w:t>diagnóstico</w:t>
        </w:r>
        <w:r w:rsidRPr="002B7E6F">
          <w:rPr>
            <w:rStyle w:val="Hipervnculo"/>
            <w:rFonts w:ascii="Arial" w:hAnsi="Arial" w:cs="Arial"/>
            <w:color w:val="000000"/>
            <w:u w:val="none"/>
          </w:rPr>
          <w:t xml:space="preserve"> del niño.</w:t>
        </w:r>
      </w:hyperlink>
      <w:r w:rsidRPr="000C7EB8">
        <w:rPr>
          <w:rFonts w:ascii="Arial" w:hAnsi="Arial" w:cs="Arial"/>
          <w:sz w:val="24"/>
        </w:rPr>
        <w:br/>
        <w:t>Alumnas: Rosario Guadalupe Arroyo Espinoza #3</w:t>
      </w:r>
      <w:r w:rsidRPr="000C7EB8">
        <w:rPr>
          <w:rFonts w:ascii="Arial" w:hAnsi="Arial" w:cs="Arial"/>
          <w:sz w:val="24"/>
        </w:rPr>
        <w:br/>
        <w:t>María Guadalupe Salazar Martínez #13</w:t>
      </w:r>
      <w:r w:rsidRPr="000C7EB8">
        <w:rPr>
          <w:rFonts w:ascii="Arial" w:hAnsi="Arial" w:cs="Arial"/>
          <w:sz w:val="24"/>
        </w:rPr>
        <w:br/>
        <w:t>Vianney Daniela Torres Salazar #18</w:t>
      </w:r>
      <w:r w:rsidRPr="000C7EB8">
        <w:rPr>
          <w:rFonts w:ascii="Arial" w:hAnsi="Arial" w:cs="Arial"/>
          <w:sz w:val="24"/>
        </w:rPr>
        <w:br/>
        <w:t>Leonardo Torres Valdés #19</w:t>
      </w:r>
      <w:r w:rsidRPr="000C7EB8">
        <w:rPr>
          <w:rFonts w:ascii="Arial" w:hAnsi="Arial" w:cs="Arial"/>
          <w:sz w:val="24"/>
        </w:rPr>
        <w:br/>
      </w:r>
      <w:proofErr w:type="spellStart"/>
      <w:r w:rsidRPr="000C7EB8">
        <w:rPr>
          <w:rFonts w:ascii="Arial" w:hAnsi="Arial" w:cs="Arial"/>
          <w:sz w:val="24"/>
        </w:rPr>
        <w:t>Arleth</w:t>
      </w:r>
      <w:proofErr w:type="spellEnd"/>
      <w:r w:rsidRPr="000C7EB8">
        <w:rPr>
          <w:rFonts w:ascii="Arial" w:hAnsi="Arial" w:cs="Arial"/>
          <w:sz w:val="24"/>
        </w:rPr>
        <w:t xml:space="preserve">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rsidR="00D265F8" w:rsidRPr="002B7E6F" w:rsidRDefault="002B7E6F" w:rsidP="002B7E6F">
      <w:pPr>
        <w:spacing w:line="360" w:lineRule="auto"/>
        <w:jc w:val="center"/>
        <w:rPr>
          <w:rFonts w:ascii="Arial" w:hAnsi="Arial" w:cs="Arial"/>
          <w:sz w:val="24"/>
        </w:rPr>
      </w:pPr>
      <w:r w:rsidRPr="000C7EB8">
        <w:rPr>
          <w:rFonts w:ascii="Arial" w:hAnsi="Arial" w:cs="Arial"/>
          <w:sz w:val="24"/>
        </w:rPr>
        <w:br/>
        <w:t>Saltillo, Coahuila de Zaragoz</w:t>
      </w:r>
      <w:r>
        <w:rPr>
          <w:rFonts w:ascii="Arial" w:hAnsi="Arial" w:cs="Arial"/>
          <w:sz w:val="24"/>
        </w:rPr>
        <w:t>a                           junio de 2021</w:t>
      </w:r>
      <w:r w:rsidRPr="000C7EB8">
        <w:rPr>
          <w:rFonts w:ascii="Arial" w:hAnsi="Arial" w:cs="Arial"/>
          <w:sz w:val="24"/>
        </w:rPr>
        <w:t xml:space="preserve"> </w:t>
      </w:r>
      <w:bookmarkStart w:id="0" w:name="_GoBack"/>
      <w:bookmarkEnd w:id="0"/>
    </w:p>
    <w:p w:rsidR="00D265F8" w:rsidRDefault="00D265F8">
      <w:pPr>
        <w:rPr>
          <w:b/>
          <w:bCs/>
        </w:rPr>
      </w:pPr>
    </w:p>
    <w:p w:rsidR="00D265F8" w:rsidRDefault="00D265F8"/>
    <w:p w:rsidR="002B7E6F" w:rsidRPr="002B7E6F" w:rsidRDefault="002B7E6F" w:rsidP="002B7E6F">
      <w:pPr>
        <w:jc w:val="center"/>
        <w:rPr>
          <w:b/>
          <w:sz w:val="32"/>
        </w:rPr>
      </w:pPr>
      <w:hyperlink r:id="rId6" w:history="1">
        <w:r w:rsidRPr="002B7E6F">
          <w:rPr>
            <w:rStyle w:val="Hipervnculo"/>
            <w:rFonts w:ascii="Arial" w:hAnsi="Arial" w:cs="Arial"/>
            <w:b/>
            <w:color w:val="000000"/>
            <w:sz w:val="32"/>
            <w:u w:val="none"/>
          </w:rPr>
          <w:t>Cuadro de aspectos del diagnóstico del niño.</w:t>
        </w:r>
      </w:hyperlink>
    </w:p>
    <w:tbl>
      <w:tblPr>
        <w:tblStyle w:val="Tabladecuadrcula2-nfasis5"/>
        <w:tblpPr w:leftFromText="141" w:rightFromText="141" w:horzAnchor="margin" w:tblpY="600"/>
        <w:tblW w:w="5000" w:type="pct"/>
        <w:tblLook w:val="04A0" w:firstRow="1" w:lastRow="0" w:firstColumn="1" w:lastColumn="0" w:noHBand="0" w:noVBand="1"/>
      </w:tblPr>
      <w:tblGrid>
        <w:gridCol w:w="4798"/>
        <w:gridCol w:w="4801"/>
        <w:gridCol w:w="4801"/>
      </w:tblGrid>
      <w:tr w:rsidR="001A52F7" w:rsidRPr="00F15D10" w:rsidTr="00D0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jc w:val="center"/>
              <w:rPr>
                <w:rFonts w:ascii="Arial" w:hAnsi="Arial" w:cs="Arial"/>
                <w:b w:val="0"/>
                <w:sz w:val="24"/>
                <w:szCs w:val="24"/>
              </w:rPr>
            </w:pPr>
            <w:r w:rsidRPr="00F15D10">
              <w:rPr>
                <w:rFonts w:ascii="Arial" w:hAnsi="Arial" w:cs="Arial"/>
                <w:b w:val="0"/>
                <w:sz w:val="24"/>
                <w:szCs w:val="24"/>
              </w:rPr>
              <w:t>Contexto familiar</w:t>
            </w:r>
          </w:p>
        </w:tc>
        <w:tc>
          <w:tcPr>
            <w:tcW w:w="1667" w:type="pct"/>
          </w:tcPr>
          <w:p w:rsidR="001A52F7" w:rsidRPr="00F15D10" w:rsidRDefault="00F15D10"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Niño</w:t>
            </w:r>
          </w:p>
        </w:tc>
        <w:tc>
          <w:tcPr>
            <w:tcW w:w="1667" w:type="pct"/>
          </w:tcPr>
          <w:p w:rsidR="001A52F7" w:rsidRPr="00F15D10" w:rsidRDefault="001A52F7"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Contexto escolar</w:t>
            </w:r>
          </w:p>
        </w:tc>
      </w:tr>
      <w:tr w:rsidR="001A52F7" w:rsidRPr="00F15D10" w:rsidTr="00D0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En el diagnóstico familiar no se emplean medidas cuantitativas tampoco se procede por integración de datos de diferente naturaleza para poder entender la globalidad del contexto en el que está inserto el paciente identificado </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Mediante el diagnóstico familiar no se pretende llegar a un conocimiento preciso y sin fallo, si no a un conocimiento aproximado de la familia</w:t>
            </w:r>
          </w:p>
          <w:p w:rsidR="00F15D10" w:rsidRPr="00F15D10" w:rsidRDefault="00F15D10" w:rsidP="00D06EA1">
            <w:pPr>
              <w:rPr>
                <w:rFonts w:ascii="Arial" w:hAnsi="Arial" w:cs="Arial"/>
                <w:b w:val="0"/>
                <w:sz w:val="24"/>
                <w:szCs w:val="24"/>
              </w:rPr>
            </w:pPr>
            <w:r w:rsidRPr="00F15D10">
              <w:rPr>
                <w:rFonts w:ascii="Arial" w:hAnsi="Arial" w:cs="Arial"/>
                <w:b w:val="0"/>
                <w:sz w:val="24"/>
                <w:szCs w:val="24"/>
              </w:rPr>
              <w:t>Tipos de familia (cuántos integrantes tienen la familia) Rol del hombre y la mujer (qué papel ocupa el hombre y la mujer en la familia) Actividades de los niños (qué hacen los niños de tu comunidad, a qué juegan) Relaciones familiares (cómo son las normas, valores, relaciones afectivas) Comunicación familiar (cómo es la comunicación entre los integrantes)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Miembros de la unidad familiar</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socio-económico de la familia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Estilo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Relación de pareja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Ambiente familiar extenso</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La familia y el estrés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 En conclusión, el conocimiento del contexto familiar es vital, el niño en muchos aspectos es reflejo de su realidad familiar, de su cultura, creencias y expectativas. Es fundamental prevenir los factores de riesgo que conllevan el mal desarrollo del niño, sobre todo si éste, de por sí, presenta algún tipo de trastorno.</w:t>
            </w:r>
          </w:p>
        </w:tc>
        <w:tc>
          <w:tcPr>
            <w:tcW w:w="1667" w:type="pct"/>
          </w:tcPr>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Una de las Utilidades más importantes de la evaluación diagnóstica es la detección de las dificultades del alumno, esto permitirá al docente realizar las modificaciones necesarias, observar los aspectos especiales a trabajar, cambiar formas o estrategias, o quitar y agregar contenidos.</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tiene un gran valor como herramienta para monitorear la evolución del proceso de enseñanza-aprendizaje.</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Estado físico general, es preciso observar que el estado físico gen</w:t>
            </w:r>
            <w:r w:rsidR="002B7E6F">
              <w:rPr>
                <w:rFonts w:ascii="Arial" w:hAnsi="Arial" w:cs="Arial"/>
                <w:sz w:val="24"/>
                <w:szCs w:val="24"/>
              </w:rPr>
              <w:t xml:space="preserve">eral que presenta el alumno.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Crecimiento físico: Toda la edad escolar se caracteriza por un rápido y notable </w:t>
            </w:r>
            <w:r w:rsidR="002B7E6F">
              <w:rPr>
                <w:rFonts w:ascii="Arial" w:hAnsi="Arial" w:cs="Arial"/>
                <w:sz w:val="24"/>
                <w:szCs w:val="24"/>
              </w:rPr>
              <w:t xml:space="preserve">crecimiento en talla y peso. </w:t>
            </w:r>
          </w:p>
          <w:p w:rsidR="001A52F7" w:rsidRPr="00F15D10" w:rsidRDefault="002B7E6F"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Visión.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Audición.</w:t>
            </w:r>
          </w:p>
          <w:p w:rsidR="002A646A"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lo que le ocurre a ese niño; </w:t>
            </w:r>
            <w:r w:rsidR="002A646A" w:rsidRPr="00F15D10">
              <w:rPr>
                <w:rFonts w:ascii="Arial" w:hAnsi="Arial" w:cs="Arial"/>
                <w:sz w:val="24"/>
                <w:szCs w:val="24"/>
              </w:rPr>
              <w:t>lo que le sucede en su</w:t>
            </w:r>
            <w:r w:rsidRPr="00F15D10">
              <w:rPr>
                <w:rFonts w:ascii="Arial" w:hAnsi="Arial" w:cs="Arial"/>
                <w:sz w:val="24"/>
                <w:szCs w:val="24"/>
              </w:rPr>
              <w:t xml:space="preserve"> familia</w:t>
            </w:r>
            <w:r w:rsidR="002A646A" w:rsidRPr="00F15D10">
              <w:rPr>
                <w:rFonts w:ascii="Arial" w:hAnsi="Arial" w:cs="Arial"/>
                <w:sz w:val="24"/>
                <w:szCs w:val="24"/>
              </w:rPr>
              <w:t>.</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Con ellos realizaría eventualmente diversos tipos de entrevista que no podría reglar de igual modo para todos los casos. En términos generales I) entrevista con los padres; II) entrevistas con el niño; III) entrevistas </w:t>
            </w:r>
            <w:r w:rsidR="002A646A" w:rsidRPr="00F15D10">
              <w:rPr>
                <w:rFonts w:ascii="Arial" w:hAnsi="Arial" w:cs="Arial"/>
                <w:sz w:val="24"/>
                <w:szCs w:val="24"/>
              </w:rPr>
              <w:t>familiares y/o vinculares y IV)</w:t>
            </w:r>
            <w:r w:rsidR="00F15D10">
              <w:rPr>
                <w:rFonts w:ascii="Arial" w:hAnsi="Arial" w:cs="Arial"/>
                <w:sz w:val="24"/>
                <w:szCs w:val="24"/>
              </w:rPr>
              <w:t xml:space="preserve"> </w:t>
            </w:r>
            <w:r w:rsidR="002A646A" w:rsidRPr="00F15D10">
              <w:rPr>
                <w:rFonts w:ascii="Arial" w:hAnsi="Arial" w:cs="Arial"/>
                <w:sz w:val="24"/>
                <w:szCs w:val="24"/>
              </w:rPr>
              <w:t xml:space="preserve">entrevista </w:t>
            </w:r>
            <w:r w:rsidRPr="00F15D10">
              <w:rPr>
                <w:rFonts w:ascii="Arial" w:hAnsi="Arial" w:cs="Arial"/>
                <w:sz w:val="24"/>
                <w:szCs w:val="24"/>
              </w:rPr>
              <w:t>de devolución e indicación.</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67" w:type="pct"/>
          </w:tcPr>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Diagnóstico de la Salud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El análisis y la caracterización de los contextos sociales y comunitarios en sus aspectos económico, geográfico, de bienestar social, salud, comunicación y organización, constituyen tanto un punto de partida como un producto final dentro de los procesos de enseñanza y aprendizaje.</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Cada una de las enfermedades detectadas puede ser objeto de trabajo y estudio posterior por parte del grupo escolar, o bien el blanco de acciones posibles para mejorar las condiciones de salud de la comunidad, mediante un trabajo conjunto con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el ámbito escolar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Este ámbito se refiere a los espacios preferentemente escolares y a la participación de la comunidad en ellos. De cada persona conviene registrar el nivel educativo, grado escolar, qué sabe y puede aportar a la escuela y qué le interesaría aprender. Es importante tratar de incluir a todos los miembros de la comunidad. Además, se trata de recuperar las propuestas y experiencias educativas surgidas y desarrolladas en las propias comunidades por expertos tradicionales (músicos, curanderos y sus aprendices, tejedores, artesanos, campesinos y demás), con el fin de apoyarse en esos modos de enseñar y aprender que la comunidad ya conoce, y fomentar su </w:t>
            </w:r>
            <w:r w:rsidRPr="00F15D10">
              <w:rPr>
                <w:rFonts w:ascii="Arial" w:hAnsi="Arial" w:cs="Arial"/>
                <w:sz w:val="24"/>
                <w:szCs w:val="24"/>
              </w:rPr>
              <w:lastRenderedPageBreak/>
              <w:t>vinculación con los esfuerzos de estudio de los escolares.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tecnológico en las comunidades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En necesario conocer la situación tecnológica que prevaleciente en las comunidades, reconociendo como tecnologías todos aquellos procesos en los que intervienen instrumentos, herramientas, maquinarias y/o artefactos, y la relación que se da entre los usos de estos artefactos y el desarrollo de habilidades específicas. Esto será posible si contamos con un listado claro de las diversas tecnologías conocidas, usadas o en desuso en la comunidad. y permitirá al docente tener una fuente de objetos de estudio dentro de la escuela.</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los géneros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También es necesario identificar aspectos importantes para trabajar en la equidad de género, ya que ésta constituye un instrumento para alcanzar la justicia y la igualdad entre hombres y mujeres mediante acciones que eliminen los obstáculos de acceso a los medios de desarrollo humano y social.</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Trabajar por alcanzar la equidad de género no implica transgredir los usos y costumbres de las comunidades, ante todo implica identificar algunas situaciones comunitarias de inequidad.</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00384B" w:rsidRDefault="002B7E6F"/>
    <w:sectPr w:rsidR="0000384B" w:rsidSect="00D06EA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F7"/>
    <w:rsid w:val="00175E48"/>
    <w:rsid w:val="001A52F7"/>
    <w:rsid w:val="002A646A"/>
    <w:rsid w:val="002B7E6F"/>
    <w:rsid w:val="00C71310"/>
    <w:rsid w:val="00D06EA1"/>
    <w:rsid w:val="00D265F8"/>
    <w:rsid w:val="00F1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E726"/>
  <w15:chartTrackingRefBased/>
  <w15:docId w15:val="{D11E2D33-9D0C-4F62-A202-0090647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4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A646A"/>
    <w:rPr>
      <w:color w:val="0000FF"/>
      <w:u w:val="single"/>
    </w:rPr>
  </w:style>
  <w:style w:type="table" w:styleId="Tabladecuadrcula2-nfasis4">
    <w:name w:val="Grid Table 2 Accent 4"/>
    <w:basedOn w:val="Tablanormal"/>
    <w:uiPriority w:val="47"/>
    <w:rsid w:val="00F15D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D06EA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51637">
      <w:bodyDiv w:val="1"/>
      <w:marLeft w:val="0"/>
      <w:marRight w:val="0"/>
      <w:marTop w:val="0"/>
      <w:marBottom w:val="0"/>
      <w:divBdr>
        <w:top w:val="none" w:sz="0" w:space="0" w:color="auto"/>
        <w:left w:val="none" w:sz="0" w:space="0" w:color="auto"/>
        <w:bottom w:val="none" w:sz="0" w:space="0" w:color="auto"/>
        <w:right w:val="none" w:sz="0" w:space="0" w:color="auto"/>
      </w:divBdr>
      <w:divsChild>
        <w:div w:id="581531555">
          <w:marLeft w:val="0"/>
          <w:marRight w:val="0"/>
          <w:marTop w:val="0"/>
          <w:marBottom w:val="0"/>
          <w:divBdr>
            <w:top w:val="none" w:sz="0" w:space="0" w:color="auto"/>
            <w:left w:val="none" w:sz="0" w:space="0" w:color="auto"/>
            <w:bottom w:val="none" w:sz="0" w:space="0" w:color="auto"/>
            <w:right w:val="none" w:sz="0" w:space="0" w:color="auto"/>
          </w:divBdr>
        </w:div>
      </w:divsChild>
    </w:div>
    <w:div w:id="1882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5"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2</cp:revision>
  <dcterms:created xsi:type="dcterms:W3CDTF">2021-06-04T21:52:00Z</dcterms:created>
  <dcterms:modified xsi:type="dcterms:W3CDTF">2021-06-04T22:49:00Z</dcterms:modified>
</cp:coreProperties>
</file>