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E6F" w:rsidRDefault="002B7E6F" w:rsidP="002B7E6F">
      <w:pPr>
        <w:spacing w:line="360" w:lineRule="auto"/>
        <w:jc w:val="center"/>
        <w:rPr>
          <w:rFonts w:ascii="Arial" w:hAnsi="Arial" w:cs="Arial"/>
          <w:b/>
          <w:sz w:val="24"/>
        </w:rPr>
      </w:pPr>
    </w:p>
    <w:p w:rsidR="002B7E6F" w:rsidRPr="000C7EB8" w:rsidRDefault="002B7E6F" w:rsidP="002B7E6F">
      <w:pPr>
        <w:spacing w:line="360" w:lineRule="auto"/>
        <w:jc w:val="center"/>
        <w:rPr>
          <w:rFonts w:ascii="Arial" w:hAnsi="Arial" w:cs="Arial"/>
          <w:sz w:val="24"/>
        </w:rPr>
      </w:pPr>
      <w:r w:rsidRPr="000C7EB8">
        <w:rPr>
          <w:rFonts w:ascii="Arial" w:hAnsi="Arial" w:cs="Arial"/>
          <w:noProof/>
          <w:lang w:eastAsia="es-MX"/>
        </w:rPr>
        <w:drawing>
          <wp:anchor distT="0" distB="0" distL="114300" distR="114300" simplePos="0" relativeHeight="251659264" behindDoc="0" locked="0" layoutInCell="1" allowOverlap="1" wp14:anchorId="0EB67ED5" wp14:editId="0A2C5C9E">
            <wp:simplePos x="0" y="0"/>
            <wp:positionH relativeFrom="margin">
              <wp:align>left</wp:align>
            </wp:positionH>
            <wp:positionV relativeFrom="paragraph">
              <wp:posOffset>13335</wp:posOffset>
            </wp:positionV>
            <wp:extent cx="914400" cy="657225"/>
            <wp:effectExtent l="0" t="0" r="0" b="9525"/>
            <wp:wrapNone/>
            <wp:docPr id="1" name="Imagen 4">
              <a:extLst xmlns:a="http://schemas.openxmlformats.org/drawingml/2006/main">
                <a:ext uri="{FF2B5EF4-FFF2-40B4-BE49-F238E27FC236}">
                  <a16:creationId xmlns:a16="http://schemas.microsoft.com/office/drawing/2014/main" id="{BE8EFF67-7E6C-418B-BB1A-EF505BFF517A}"/>
                </a:ext>
              </a:extLst>
            </wp:docPr>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BE8EFF67-7E6C-418B-BB1A-EF505BFF517A}"/>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914400" cy="657225"/>
                    </a:xfrm>
                    <a:prstGeom prst="rect">
                      <a:avLst/>
                    </a:prstGeom>
                  </pic:spPr>
                </pic:pic>
              </a:graphicData>
            </a:graphic>
            <wp14:sizeRelH relativeFrom="margin">
              <wp14:pctWidth>0</wp14:pctWidth>
            </wp14:sizeRelH>
            <wp14:sizeRelV relativeFrom="margin">
              <wp14:pctHeight>0</wp14:pctHeight>
            </wp14:sizeRelV>
          </wp:anchor>
        </w:drawing>
      </w:r>
      <w:r w:rsidRPr="000C7EB8">
        <w:rPr>
          <w:rFonts w:ascii="Arial" w:hAnsi="Arial" w:cs="Arial"/>
          <w:b/>
          <w:sz w:val="24"/>
        </w:rPr>
        <w:t>ESCUELA NORMAL DE EDUCACIÓN PREESCOLAR</w:t>
      </w:r>
      <w:r w:rsidRPr="000C7EB8">
        <w:rPr>
          <w:rFonts w:ascii="Arial" w:hAnsi="Arial" w:cs="Arial"/>
          <w:sz w:val="24"/>
        </w:rPr>
        <w:br/>
        <w:t>Licenciatura en educación preescolar</w:t>
      </w:r>
      <w:r w:rsidRPr="000C7EB8">
        <w:rPr>
          <w:rFonts w:ascii="Arial" w:hAnsi="Arial" w:cs="Arial"/>
          <w:sz w:val="24"/>
        </w:rPr>
        <w:br/>
        <w:t>Ciclo escolar 2020-2021</w:t>
      </w:r>
      <w:r w:rsidRPr="000C7EB8">
        <w:rPr>
          <w:rFonts w:ascii="Arial" w:hAnsi="Arial" w:cs="Arial"/>
          <w:sz w:val="24"/>
        </w:rPr>
        <w:br/>
        <w:t>2do semestre sección “B”</w:t>
      </w:r>
      <w:r w:rsidRPr="000C7EB8">
        <w:rPr>
          <w:rFonts w:ascii="Arial" w:hAnsi="Arial" w:cs="Arial"/>
          <w:sz w:val="24"/>
        </w:rPr>
        <w:br/>
        <w:t>Curso: Planeación y evaluación de la enseñanza y el aprendizaje</w:t>
      </w:r>
      <w:r w:rsidRPr="000C7EB8">
        <w:rPr>
          <w:rFonts w:ascii="Arial" w:hAnsi="Arial" w:cs="Arial"/>
          <w:sz w:val="24"/>
        </w:rPr>
        <w:br/>
        <w:t>Trabajo:</w:t>
      </w:r>
      <w:r w:rsidRPr="002B7E6F">
        <w:rPr>
          <w:rFonts w:ascii="Arial" w:hAnsi="Arial" w:cs="Arial"/>
          <w:sz w:val="24"/>
        </w:rPr>
        <w:t xml:space="preserve"> </w:t>
      </w:r>
      <w:bookmarkStart w:id="0" w:name="_GoBack"/>
      <w:r w:rsidR="007E041A">
        <w:fldChar w:fldCharType="begin"/>
      </w:r>
      <w:r w:rsidR="007E041A">
        <w:instrText xml:space="preserve"> HYPERLINK "http://201.117.133.137/sistema/Actividad/ActividadPresentacion.asp?e=enep-00042&amp;c=600765339&amp;p=B6A4719B7421M107B241746A0&amp;idMateria=6103&amp;idActividad=17352&amp;comp=enep-00042|17352|2021/06/04|5415&amp;z1=19308989&amp;z2=10097134" </w:instrText>
      </w:r>
      <w:r w:rsidR="007E041A">
        <w:fldChar w:fldCharType="separate"/>
      </w:r>
      <w:r w:rsidRPr="002B7E6F">
        <w:rPr>
          <w:rStyle w:val="Hipervnculo"/>
          <w:rFonts w:ascii="Arial" w:hAnsi="Arial" w:cs="Arial"/>
          <w:color w:val="000000"/>
          <w:u w:val="none"/>
        </w:rPr>
        <w:t>Cuadro de aspectos del diagnóstico del niño.</w:t>
      </w:r>
      <w:r w:rsidR="007E041A">
        <w:rPr>
          <w:rStyle w:val="Hipervnculo"/>
          <w:rFonts w:ascii="Arial" w:hAnsi="Arial" w:cs="Arial"/>
          <w:color w:val="000000"/>
          <w:u w:val="none"/>
        </w:rPr>
        <w:fldChar w:fldCharType="end"/>
      </w:r>
      <w:r w:rsidRPr="000C7EB8">
        <w:rPr>
          <w:rFonts w:ascii="Arial" w:hAnsi="Arial" w:cs="Arial"/>
          <w:sz w:val="24"/>
        </w:rPr>
        <w:br/>
      </w:r>
      <w:bookmarkEnd w:id="0"/>
      <w:r w:rsidRPr="000C7EB8">
        <w:rPr>
          <w:rFonts w:ascii="Arial" w:hAnsi="Arial" w:cs="Arial"/>
          <w:sz w:val="24"/>
        </w:rPr>
        <w:t>Alumnas: Rosario Guadalupe Arroyo Espinoza #3</w:t>
      </w:r>
      <w:r w:rsidRPr="000C7EB8">
        <w:rPr>
          <w:rFonts w:ascii="Arial" w:hAnsi="Arial" w:cs="Arial"/>
          <w:sz w:val="24"/>
        </w:rPr>
        <w:br/>
        <w:t>María Guadalupe Salazar Martínez #13</w:t>
      </w:r>
      <w:r w:rsidRPr="000C7EB8">
        <w:rPr>
          <w:rFonts w:ascii="Arial" w:hAnsi="Arial" w:cs="Arial"/>
          <w:sz w:val="24"/>
        </w:rPr>
        <w:br/>
      </w:r>
      <w:proofErr w:type="spellStart"/>
      <w:r w:rsidRPr="000C7EB8">
        <w:rPr>
          <w:rFonts w:ascii="Arial" w:hAnsi="Arial" w:cs="Arial"/>
          <w:sz w:val="24"/>
        </w:rPr>
        <w:t>Vianney</w:t>
      </w:r>
      <w:proofErr w:type="spellEnd"/>
      <w:r w:rsidRPr="000C7EB8">
        <w:rPr>
          <w:rFonts w:ascii="Arial" w:hAnsi="Arial" w:cs="Arial"/>
          <w:sz w:val="24"/>
        </w:rPr>
        <w:t xml:space="preserve"> Daniela Torres Salazar #18</w:t>
      </w:r>
      <w:r w:rsidRPr="000C7EB8">
        <w:rPr>
          <w:rFonts w:ascii="Arial" w:hAnsi="Arial" w:cs="Arial"/>
          <w:sz w:val="24"/>
        </w:rPr>
        <w:br/>
        <w:t>Leonardo Torres Valdés #19</w:t>
      </w:r>
      <w:r w:rsidRPr="000C7EB8">
        <w:rPr>
          <w:rFonts w:ascii="Arial" w:hAnsi="Arial" w:cs="Arial"/>
          <w:sz w:val="24"/>
        </w:rPr>
        <w:br/>
        <w:t>Arleth Velázquez Hernández #21</w:t>
      </w:r>
      <w:r w:rsidRPr="000C7EB8">
        <w:rPr>
          <w:rFonts w:ascii="Arial" w:hAnsi="Arial" w:cs="Arial"/>
          <w:sz w:val="24"/>
        </w:rPr>
        <w:br/>
        <w:t>Profesor: Gerardo Garza Alcalá</w:t>
      </w:r>
      <w:r w:rsidRPr="000C7EB8">
        <w:rPr>
          <w:rFonts w:ascii="Arial" w:hAnsi="Arial" w:cs="Arial"/>
          <w:sz w:val="24"/>
        </w:rPr>
        <w:br/>
        <w:t>Competencias:</w:t>
      </w:r>
      <w:r w:rsidRPr="000C7EB8">
        <w:rPr>
          <w:rFonts w:ascii="Arial" w:hAnsi="Arial" w:cs="Arial"/>
          <w:b/>
          <w:sz w:val="24"/>
        </w:rPr>
        <w:br/>
      </w:r>
      <w:r w:rsidRPr="000C7EB8">
        <w:rPr>
          <w:rFonts w:ascii="Arial" w:hAnsi="Arial" w:cs="Arial"/>
          <w:sz w:val="24"/>
        </w:rPr>
        <w:t xml:space="preserve">-Elabora diagnósticos de los intereses, motivaciones y necesidades formativas de los alumnos para organizar las actividades de aprendizaje, así como las adecuaciones curriculares y didácticas pertinentes. </w:t>
      </w:r>
      <w:r w:rsidRPr="000C7EB8">
        <w:rPr>
          <w:rFonts w:ascii="Arial" w:hAnsi="Arial" w:cs="Arial"/>
          <w:sz w:val="24"/>
        </w:rPr>
        <w:br/>
        <w:t xml:space="preserve">-Selecciona estrategias que favorecen el desarrollo intelectual, físico, social y emocional de los alumnos para procurar el logro de los aprendizajes. </w:t>
      </w:r>
      <w:r w:rsidRPr="000C7EB8">
        <w:rPr>
          <w:rFonts w:ascii="Arial" w:hAnsi="Arial" w:cs="Arial"/>
          <w:sz w:val="24"/>
        </w:rPr>
        <w:br/>
        <w:t>-Evalúa el aprendizaje de sus alumnos mediante la aplicación de distintas teorías, métodos e instrumentos considerando las áreas, campos y ámbitos de conocimiento, así como los saberes correspondientes al grado y nivel educativo.</w:t>
      </w:r>
    </w:p>
    <w:p w:rsidR="00D265F8" w:rsidRPr="002B7E6F" w:rsidRDefault="002B7E6F" w:rsidP="002B7E6F">
      <w:pPr>
        <w:spacing w:line="360" w:lineRule="auto"/>
        <w:jc w:val="center"/>
        <w:rPr>
          <w:rFonts w:ascii="Arial" w:hAnsi="Arial" w:cs="Arial"/>
          <w:sz w:val="24"/>
        </w:rPr>
      </w:pPr>
      <w:r w:rsidRPr="000C7EB8">
        <w:rPr>
          <w:rFonts w:ascii="Arial" w:hAnsi="Arial" w:cs="Arial"/>
          <w:sz w:val="24"/>
        </w:rPr>
        <w:br/>
        <w:t>Saltillo, Coahuila de Zaragoz</w:t>
      </w:r>
      <w:r>
        <w:rPr>
          <w:rFonts w:ascii="Arial" w:hAnsi="Arial" w:cs="Arial"/>
          <w:sz w:val="24"/>
        </w:rPr>
        <w:t>a                           junio de 2021</w:t>
      </w:r>
      <w:r w:rsidRPr="000C7EB8">
        <w:rPr>
          <w:rFonts w:ascii="Arial" w:hAnsi="Arial" w:cs="Arial"/>
          <w:sz w:val="24"/>
        </w:rPr>
        <w:t xml:space="preserve"> </w:t>
      </w:r>
    </w:p>
    <w:p w:rsidR="00D265F8" w:rsidRDefault="00D265F8">
      <w:pPr>
        <w:rPr>
          <w:b/>
          <w:bCs/>
        </w:rPr>
      </w:pPr>
    </w:p>
    <w:p w:rsidR="00D265F8" w:rsidRDefault="00D265F8"/>
    <w:p w:rsidR="002B7E6F" w:rsidRPr="002B7E6F" w:rsidRDefault="007E041A" w:rsidP="002B7E6F">
      <w:pPr>
        <w:jc w:val="center"/>
        <w:rPr>
          <w:b/>
          <w:sz w:val="32"/>
        </w:rPr>
      </w:pPr>
      <w:hyperlink r:id="rId5" w:history="1">
        <w:r w:rsidR="002B7E6F" w:rsidRPr="002B7E6F">
          <w:rPr>
            <w:rStyle w:val="Hipervnculo"/>
            <w:rFonts w:ascii="Arial" w:hAnsi="Arial" w:cs="Arial"/>
            <w:b/>
            <w:color w:val="000000"/>
            <w:sz w:val="32"/>
            <w:u w:val="none"/>
          </w:rPr>
          <w:t>Cuadro de aspectos del diagnóstico del niño.</w:t>
        </w:r>
      </w:hyperlink>
    </w:p>
    <w:tbl>
      <w:tblPr>
        <w:tblStyle w:val="Tabladecuadrcula2-nfasis5"/>
        <w:tblpPr w:leftFromText="141" w:rightFromText="141" w:horzAnchor="margin" w:tblpY="600"/>
        <w:tblW w:w="5000" w:type="pct"/>
        <w:tblLook w:val="04A0" w:firstRow="1" w:lastRow="0" w:firstColumn="1" w:lastColumn="0" w:noHBand="0" w:noVBand="1"/>
      </w:tblPr>
      <w:tblGrid>
        <w:gridCol w:w="4798"/>
        <w:gridCol w:w="4801"/>
        <w:gridCol w:w="4801"/>
      </w:tblGrid>
      <w:tr w:rsidR="001A52F7" w:rsidRPr="00F15D10" w:rsidTr="00D06E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Pr>
          <w:p w:rsidR="001A52F7" w:rsidRPr="00F15D10" w:rsidRDefault="001A52F7" w:rsidP="00D06EA1">
            <w:pPr>
              <w:jc w:val="center"/>
              <w:rPr>
                <w:rFonts w:ascii="Arial" w:hAnsi="Arial" w:cs="Arial"/>
                <w:b w:val="0"/>
                <w:sz w:val="24"/>
                <w:szCs w:val="24"/>
              </w:rPr>
            </w:pPr>
            <w:r w:rsidRPr="00F15D10">
              <w:rPr>
                <w:rFonts w:ascii="Arial" w:hAnsi="Arial" w:cs="Arial"/>
                <w:b w:val="0"/>
                <w:sz w:val="24"/>
                <w:szCs w:val="24"/>
              </w:rPr>
              <w:t>Contexto familiar</w:t>
            </w:r>
          </w:p>
        </w:tc>
        <w:tc>
          <w:tcPr>
            <w:tcW w:w="1667" w:type="pct"/>
          </w:tcPr>
          <w:p w:rsidR="001A52F7" w:rsidRPr="00F15D10" w:rsidRDefault="00F15D10" w:rsidP="00D06EA1">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F15D10">
              <w:rPr>
                <w:rFonts w:ascii="Arial" w:hAnsi="Arial" w:cs="Arial"/>
                <w:b w:val="0"/>
                <w:sz w:val="24"/>
                <w:szCs w:val="24"/>
              </w:rPr>
              <w:t>Niño</w:t>
            </w:r>
          </w:p>
        </w:tc>
        <w:tc>
          <w:tcPr>
            <w:tcW w:w="1667" w:type="pct"/>
          </w:tcPr>
          <w:p w:rsidR="001A52F7" w:rsidRPr="00F15D10" w:rsidRDefault="001A52F7" w:rsidP="00D06EA1">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F15D10">
              <w:rPr>
                <w:rFonts w:ascii="Arial" w:hAnsi="Arial" w:cs="Arial"/>
                <w:b w:val="0"/>
                <w:sz w:val="24"/>
                <w:szCs w:val="24"/>
              </w:rPr>
              <w:t>Contexto escolar</w:t>
            </w:r>
          </w:p>
        </w:tc>
      </w:tr>
      <w:tr w:rsidR="001A52F7" w:rsidRPr="00F15D10" w:rsidTr="00D06E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Pr>
          <w:p w:rsidR="001A52F7" w:rsidRPr="00F15D10" w:rsidRDefault="001A52F7" w:rsidP="00D06EA1">
            <w:pPr>
              <w:rPr>
                <w:rFonts w:ascii="Arial" w:hAnsi="Arial" w:cs="Arial"/>
                <w:b w:val="0"/>
                <w:sz w:val="24"/>
                <w:szCs w:val="24"/>
              </w:rPr>
            </w:pPr>
            <w:r w:rsidRPr="00F15D10">
              <w:rPr>
                <w:rFonts w:ascii="Arial" w:hAnsi="Arial" w:cs="Arial"/>
                <w:b w:val="0"/>
                <w:sz w:val="24"/>
                <w:szCs w:val="24"/>
              </w:rPr>
              <w:t xml:space="preserve">En el diagnóstico familiar no se emplean medidas cuantitativas tampoco se procede por integración de datos de diferente naturaleza para poder entender la globalidad del contexto en el que está inserto el paciente identificado </w:t>
            </w:r>
          </w:p>
          <w:p w:rsidR="001A52F7" w:rsidRPr="00F15D10" w:rsidRDefault="001A52F7" w:rsidP="00D06EA1">
            <w:pPr>
              <w:rPr>
                <w:rFonts w:ascii="Arial" w:hAnsi="Arial" w:cs="Arial"/>
                <w:b w:val="0"/>
                <w:sz w:val="24"/>
                <w:szCs w:val="24"/>
              </w:rPr>
            </w:pPr>
            <w:r w:rsidRPr="00F15D10">
              <w:rPr>
                <w:rFonts w:ascii="Arial" w:hAnsi="Arial" w:cs="Arial"/>
                <w:b w:val="0"/>
                <w:sz w:val="24"/>
                <w:szCs w:val="24"/>
              </w:rPr>
              <w:t>Mediante el diagnóstico familiar no se pretende llegar a un conocimiento preciso y sin fallo, si no a un conocimiento aproximado de la familia</w:t>
            </w:r>
          </w:p>
          <w:p w:rsidR="00F15D10" w:rsidRPr="00F15D10" w:rsidRDefault="00F15D10" w:rsidP="00D06EA1">
            <w:pPr>
              <w:rPr>
                <w:rFonts w:ascii="Arial" w:hAnsi="Arial" w:cs="Arial"/>
                <w:b w:val="0"/>
                <w:sz w:val="24"/>
                <w:szCs w:val="24"/>
              </w:rPr>
            </w:pPr>
            <w:r w:rsidRPr="00F15D10">
              <w:rPr>
                <w:rFonts w:ascii="Arial" w:hAnsi="Arial" w:cs="Arial"/>
                <w:b w:val="0"/>
                <w:sz w:val="24"/>
                <w:szCs w:val="24"/>
              </w:rPr>
              <w:t>Tipos de familia (cuántos integrantes tienen la familia) Rol del hombre y la mujer (qué papel ocupa el hombre y la mujer en la familia) Actividades de los niños (qué hacen los niños de tu comunidad, a qué juegan) Relaciones familiares (cómo son las normas, valores, relaciones afectivas) Comunicación familiar (cómo es la comunicación entre los integrantes)</w:t>
            </w:r>
          </w:p>
          <w:p w:rsidR="001A52F7" w:rsidRPr="00F15D10" w:rsidRDefault="001A52F7" w:rsidP="00D06EA1">
            <w:pPr>
              <w:rPr>
                <w:rFonts w:ascii="Arial" w:hAnsi="Arial" w:cs="Arial"/>
                <w:b w:val="0"/>
                <w:sz w:val="24"/>
                <w:szCs w:val="24"/>
              </w:rPr>
            </w:pPr>
            <w:r w:rsidRPr="00F15D10">
              <w:rPr>
                <w:rFonts w:ascii="Arial" w:hAnsi="Arial" w:cs="Arial"/>
                <w:b w:val="0"/>
                <w:sz w:val="24"/>
                <w:szCs w:val="24"/>
              </w:rPr>
              <w:t>Miembros de la unidad familiar</w:t>
            </w:r>
          </w:p>
          <w:p w:rsidR="001A52F7" w:rsidRPr="00F15D10" w:rsidRDefault="001A52F7" w:rsidP="00D06EA1">
            <w:pPr>
              <w:rPr>
                <w:rFonts w:ascii="Arial" w:hAnsi="Arial" w:cs="Arial"/>
                <w:b w:val="0"/>
                <w:sz w:val="24"/>
                <w:szCs w:val="24"/>
              </w:rPr>
            </w:pPr>
            <w:r w:rsidRPr="00F15D10">
              <w:rPr>
                <w:rFonts w:ascii="Arial" w:hAnsi="Arial" w:cs="Arial"/>
                <w:b w:val="0"/>
                <w:sz w:val="24"/>
                <w:szCs w:val="24"/>
              </w:rPr>
              <w:t>Nivel socio-económico de la familia</w:t>
            </w:r>
          </w:p>
          <w:p w:rsidR="001A52F7" w:rsidRPr="00F15D10" w:rsidRDefault="001A52F7" w:rsidP="00D06EA1">
            <w:pPr>
              <w:rPr>
                <w:rFonts w:ascii="Arial" w:hAnsi="Arial" w:cs="Arial"/>
                <w:b w:val="0"/>
                <w:sz w:val="24"/>
                <w:szCs w:val="24"/>
              </w:rPr>
            </w:pPr>
            <w:r w:rsidRPr="00F15D10">
              <w:rPr>
                <w:rFonts w:ascii="Arial" w:hAnsi="Arial" w:cs="Arial"/>
                <w:b w:val="0"/>
                <w:sz w:val="24"/>
                <w:szCs w:val="24"/>
              </w:rPr>
              <w:t>Nivel educativo de los padres</w:t>
            </w:r>
          </w:p>
          <w:p w:rsidR="001A52F7" w:rsidRPr="00F15D10" w:rsidRDefault="001A52F7" w:rsidP="00D06EA1">
            <w:pPr>
              <w:rPr>
                <w:rFonts w:ascii="Arial" w:hAnsi="Arial" w:cs="Arial"/>
                <w:b w:val="0"/>
                <w:sz w:val="24"/>
                <w:szCs w:val="24"/>
              </w:rPr>
            </w:pPr>
            <w:r w:rsidRPr="00F15D10">
              <w:rPr>
                <w:rFonts w:ascii="Arial" w:hAnsi="Arial" w:cs="Arial"/>
                <w:b w:val="0"/>
                <w:sz w:val="24"/>
                <w:szCs w:val="24"/>
              </w:rPr>
              <w:t>Estilo educativo de los padres</w:t>
            </w:r>
          </w:p>
          <w:p w:rsidR="001A52F7" w:rsidRPr="00F15D10" w:rsidRDefault="001A52F7" w:rsidP="00D06EA1">
            <w:pPr>
              <w:rPr>
                <w:rFonts w:ascii="Arial" w:hAnsi="Arial" w:cs="Arial"/>
                <w:b w:val="0"/>
                <w:sz w:val="24"/>
                <w:szCs w:val="24"/>
              </w:rPr>
            </w:pPr>
            <w:r w:rsidRPr="00F15D10">
              <w:rPr>
                <w:rFonts w:ascii="Arial" w:hAnsi="Arial" w:cs="Arial"/>
                <w:b w:val="0"/>
                <w:sz w:val="24"/>
                <w:szCs w:val="24"/>
              </w:rPr>
              <w:t>Relación de pareja</w:t>
            </w:r>
          </w:p>
          <w:p w:rsidR="001A52F7" w:rsidRPr="00F15D10" w:rsidRDefault="001A52F7" w:rsidP="00D06EA1">
            <w:pPr>
              <w:rPr>
                <w:rFonts w:ascii="Arial" w:hAnsi="Arial" w:cs="Arial"/>
                <w:b w:val="0"/>
                <w:sz w:val="24"/>
                <w:szCs w:val="24"/>
              </w:rPr>
            </w:pPr>
            <w:r w:rsidRPr="00F15D10">
              <w:rPr>
                <w:rFonts w:ascii="Arial" w:hAnsi="Arial" w:cs="Arial"/>
                <w:b w:val="0"/>
                <w:sz w:val="24"/>
                <w:szCs w:val="24"/>
              </w:rPr>
              <w:t>Ambiente familiar extenso</w:t>
            </w:r>
          </w:p>
          <w:p w:rsidR="001A52F7" w:rsidRPr="00F15D10" w:rsidRDefault="001A52F7" w:rsidP="00D06EA1">
            <w:pPr>
              <w:rPr>
                <w:rFonts w:ascii="Arial" w:hAnsi="Arial" w:cs="Arial"/>
                <w:b w:val="0"/>
                <w:sz w:val="24"/>
                <w:szCs w:val="24"/>
              </w:rPr>
            </w:pPr>
            <w:r w:rsidRPr="00F15D10">
              <w:rPr>
                <w:rFonts w:ascii="Arial" w:hAnsi="Arial" w:cs="Arial"/>
                <w:b w:val="0"/>
                <w:sz w:val="24"/>
                <w:szCs w:val="24"/>
              </w:rPr>
              <w:t>La familia y el estrés</w:t>
            </w:r>
          </w:p>
          <w:p w:rsidR="001A52F7" w:rsidRPr="00F15D10" w:rsidRDefault="001A52F7" w:rsidP="00D06EA1">
            <w:pPr>
              <w:rPr>
                <w:rFonts w:ascii="Arial" w:hAnsi="Arial" w:cs="Arial"/>
                <w:b w:val="0"/>
                <w:sz w:val="24"/>
                <w:szCs w:val="24"/>
              </w:rPr>
            </w:pPr>
            <w:r w:rsidRPr="00F15D10">
              <w:rPr>
                <w:rFonts w:ascii="Arial" w:hAnsi="Arial" w:cs="Arial"/>
                <w:b w:val="0"/>
                <w:sz w:val="24"/>
                <w:szCs w:val="24"/>
              </w:rPr>
              <w:t xml:space="preserve"> En conclusión, el conocimiento del contexto familiar es vital, el niño en muchos aspectos es reflejo de su realidad familiar, de su cultura, creencias y expectativas. Es fundamental prevenir los factores de riesgo que conllevan el mal desarrollo del niño, sobre todo si éste, de por sí, presenta algún tipo de trastorno.</w:t>
            </w:r>
          </w:p>
        </w:tc>
        <w:tc>
          <w:tcPr>
            <w:tcW w:w="1667" w:type="pct"/>
          </w:tcPr>
          <w:p w:rsidR="002A646A" w:rsidRPr="00F15D10" w:rsidRDefault="002A646A" w:rsidP="00D06EA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15D10">
              <w:rPr>
                <w:rFonts w:ascii="Arial" w:hAnsi="Arial" w:cs="Arial"/>
                <w:sz w:val="24"/>
                <w:szCs w:val="24"/>
              </w:rPr>
              <w:t>Una de las Utilidades más importantes de la evaluación diagnóstica es la detección de las dificultades del alumno, esto permitirá al docente realizar las modificaciones necesarias, observar los aspectos especiales a trabajar, cambiar formas o estrategias, o quitar y agregar contenidos.</w:t>
            </w:r>
          </w:p>
          <w:p w:rsidR="002A646A" w:rsidRPr="00F15D10" w:rsidRDefault="002A646A" w:rsidP="00D06EA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15D10">
              <w:rPr>
                <w:rFonts w:ascii="Arial" w:hAnsi="Arial" w:cs="Arial"/>
                <w:sz w:val="24"/>
                <w:szCs w:val="24"/>
              </w:rPr>
              <w:t>tiene un gran valor como herramienta para monitorear la evolución del proceso de enseñanza-aprendizaje.</w:t>
            </w:r>
          </w:p>
          <w:p w:rsidR="001A52F7" w:rsidRPr="00F15D10" w:rsidRDefault="001A52F7" w:rsidP="00D06EA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15D10">
              <w:rPr>
                <w:rFonts w:ascii="Arial" w:hAnsi="Arial" w:cs="Arial"/>
                <w:sz w:val="24"/>
                <w:szCs w:val="24"/>
              </w:rPr>
              <w:t>Estado físico general, es preciso observar que el estado físico gen</w:t>
            </w:r>
            <w:r w:rsidR="002B7E6F">
              <w:rPr>
                <w:rFonts w:ascii="Arial" w:hAnsi="Arial" w:cs="Arial"/>
                <w:sz w:val="24"/>
                <w:szCs w:val="24"/>
              </w:rPr>
              <w:t xml:space="preserve">eral que presenta el alumno. </w:t>
            </w:r>
          </w:p>
          <w:p w:rsidR="001A52F7" w:rsidRPr="00F15D10" w:rsidRDefault="001A52F7" w:rsidP="00D06EA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15D10">
              <w:rPr>
                <w:rFonts w:ascii="Arial" w:hAnsi="Arial" w:cs="Arial"/>
                <w:sz w:val="24"/>
                <w:szCs w:val="24"/>
              </w:rPr>
              <w:t xml:space="preserve">Crecimiento físico: Toda la edad escolar se caracteriza por un rápido y notable </w:t>
            </w:r>
            <w:r w:rsidR="002B7E6F">
              <w:rPr>
                <w:rFonts w:ascii="Arial" w:hAnsi="Arial" w:cs="Arial"/>
                <w:sz w:val="24"/>
                <w:szCs w:val="24"/>
              </w:rPr>
              <w:t xml:space="preserve">crecimiento en talla y peso. </w:t>
            </w:r>
          </w:p>
          <w:p w:rsidR="001A52F7" w:rsidRPr="00F15D10" w:rsidRDefault="002B7E6F" w:rsidP="00D06EA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Visión. </w:t>
            </w:r>
          </w:p>
          <w:p w:rsidR="001A52F7" w:rsidRPr="00F15D10" w:rsidRDefault="001A52F7" w:rsidP="00D06EA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15D10">
              <w:rPr>
                <w:rFonts w:ascii="Arial" w:hAnsi="Arial" w:cs="Arial"/>
                <w:sz w:val="24"/>
                <w:szCs w:val="24"/>
              </w:rPr>
              <w:t>Audición.</w:t>
            </w:r>
          </w:p>
          <w:p w:rsidR="002A646A" w:rsidRPr="00F15D10" w:rsidRDefault="001A52F7" w:rsidP="00D06EA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15D10">
              <w:rPr>
                <w:rFonts w:ascii="Arial" w:hAnsi="Arial" w:cs="Arial"/>
                <w:sz w:val="24"/>
                <w:szCs w:val="24"/>
              </w:rPr>
              <w:t xml:space="preserve">lo que le ocurre a ese niño; </w:t>
            </w:r>
            <w:r w:rsidR="002A646A" w:rsidRPr="00F15D10">
              <w:rPr>
                <w:rFonts w:ascii="Arial" w:hAnsi="Arial" w:cs="Arial"/>
                <w:sz w:val="24"/>
                <w:szCs w:val="24"/>
              </w:rPr>
              <w:t>lo que le sucede en su</w:t>
            </w:r>
            <w:r w:rsidRPr="00F15D10">
              <w:rPr>
                <w:rFonts w:ascii="Arial" w:hAnsi="Arial" w:cs="Arial"/>
                <w:sz w:val="24"/>
                <w:szCs w:val="24"/>
              </w:rPr>
              <w:t xml:space="preserve"> familia</w:t>
            </w:r>
            <w:r w:rsidR="002A646A" w:rsidRPr="00F15D10">
              <w:rPr>
                <w:rFonts w:ascii="Arial" w:hAnsi="Arial" w:cs="Arial"/>
                <w:sz w:val="24"/>
                <w:szCs w:val="24"/>
              </w:rPr>
              <w:t>.</w:t>
            </w:r>
          </w:p>
          <w:p w:rsidR="001A52F7" w:rsidRPr="00F15D10" w:rsidRDefault="001A52F7" w:rsidP="00D06EA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15D10">
              <w:rPr>
                <w:rFonts w:ascii="Arial" w:hAnsi="Arial" w:cs="Arial"/>
                <w:sz w:val="24"/>
                <w:szCs w:val="24"/>
              </w:rPr>
              <w:t xml:space="preserve">Con ellos realizaría eventualmente diversos tipos de entrevista que no podría reglar de igual modo para todos los casos. En términos generales I) entrevista con los padres; II) entrevistas con el niño; III) entrevistas </w:t>
            </w:r>
            <w:r w:rsidR="002A646A" w:rsidRPr="00F15D10">
              <w:rPr>
                <w:rFonts w:ascii="Arial" w:hAnsi="Arial" w:cs="Arial"/>
                <w:sz w:val="24"/>
                <w:szCs w:val="24"/>
              </w:rPr>
              <w:t>familiares y/o vinculares y IV)</w:t>
            </w:r>
            <w:r w:rsidR="00F15D10">
              <w:rPr>
                <w:rFonts w:ascii="Arial" w:hAnsi="Arial" w:cs="Arial"/>
                <w:sz w:val="24"/>
                <w:szCs w:val="24"/>
              </w:rPr>
              <w:t xml:space="preserve"> </w:t>
            </w:r>
            <w:r w:rsidR="002A646A" w:rsidRPr="00F15D10">
              <w:rPr>
                <w:rFonts w:ascii="Arial" w:hAnsi="Arial" w:cs="Arial"/>
                <w:sz w:val="24"/>
                <w:szCs w:val="24"/>
              </w:rPr>
              <w:t xml:space="preserve">entrevista </w:t>
            </w:r>
            <w:r w:rsidRPr="00F15D10">
              <w:rPr>
                <w:rFonts w:ascii="Arial" w:hAnsi="Arial" w:cs="Arial"/>
                <w:sz w:val="24"/>
                <w:szCs w:val="24"/>
              </w:rPr>
              <w:t>de devolución e indicación.</w:t>
            </w:r>
          </w:p>
          <w:p w:rsidR="002A646A" w:rsidRPr="00F15D10" w:rsidRDefault="002A646A" w:rsidP="00D06EA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667" w:type="pct"/>
          </w:tcPr>
          <w:p w:rsidR="00F15D10" w:rsidRPr="00F15D10" w:rsidRDefault="00F15D10" w:rsidP="00D06EA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15D10">
              <w:rPr>
                <w:rFonts w:ascii="Arial" w:hAnsi="Arial" w:cs="Arial"/>
                <w:sz w:val="24"/>
                <w:szCs w:val="24"/>
              </w:rPr>
              <w:t>Diagnóstico de la Salud en la comunidad.</w:t>
            </w:r>
          </w:p>
          <w:p w:rsidR="00F15D10" w:rsidRPr="00F15D10" w:rsidRDefault="00F15D10" w:rsidP="00D06EA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15D10">
              <w:rPr>
                <w:rFonts w:ascii="Arial" w:hAnsi="Arial" w:cs="Arial"/>
                <w:sz w:val="24"/>
                <w:szCs w:val="24"/>
              </w:rPr>
              <w:t>El análisis y la caracterización de los contextos sociales y comunitarios en sus aspectos económico, geográfico, de bienestar social, salud, comunicación y organización, constituyen tanto un punto de partida como un producto final dentro de los procesos de enseñanza y aprendizaje.</w:t>
            </w:r>
          </w:p>
          <w:p w:rsidR="00F15D10" w:rsidRPr="00F15D10" w:rsidRDefault="00F15D10" w:rsidP="00D06EA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15D10">
              <w:rPr>
                <w:rFonts w:ascii="Arial" w:hAnsi="Arial" w:cs="Arial"/>
                <w:sz w:val="24"/>
                <w:szCs w:val="24"/>
              </w:rPr>
              <w:t>Cada una de las enfermedades detectadas puede ser objeto de trabajo y estudio posterior por parte del grupo escolar, o bien el blanco de acciones posibles para mejorar las condiciones de salud de la comunidad, mediante un trabajo conjunto con la comunidad.</w:t>
            </w:r>
          </w:p>
          <w:p w:rsidR="00F15D10" w:rsidRPr="00F15D10" w:rsidRDefault="00F15D10" w:rsidP="00D06EA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15D10">
              <w:rPr>
                <w:rFonts w:ascii="Arial" w:hAnsi="Arial" w:cs="Arial"/>
                <w:sz w:val="24"/>
                <w:szCs w:val="24"/>
              </w:rPr>
              <w:t>Diagnostico en el ámbito escolar en la comunidad</w:t>
            </w:r>
          </w:p>
          <w:p w:rsidR="00F15D10" w:rsidRPr="00F15D10" w:rsidRDefault="00F15D10" w:rsidP="00D06EA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15D10">
              <w:rPr>
                <w:rFonts w:ascii="Arial" w:hAnsi="Arial" w:cs="Arial"/>
                <w:sz w:val="24"/>
                <w:szCs w:val="24"/>
              </w:rPr>
              <w:t>Este ámbito se refiere a los espacios preferentemente escolares y a la participación de la comunidad en ellos. De cada persona conviene registrar el nivel educativo, grado escolar, qué sabe y puede aportar a la escuela y qué le interesaría aprender. Es importante tratar de incluir a todos los miembros de la comunidad. Además, se trata de recuperar las propuestas y experiencias educativas surgidas y desarrolladas en las propias comunidades por expertos tradicionales (músicos, curanderos y sus aprendices, tejedores, artesanos, campesinos y demás), con el fin de apoyarse en esos modos de enseñar y aprender que la comunidad ya conoce, y fomentar su vinculación con los esfuerzos de estudio de los escolares.</w:t>
            </w:r>
          </w:p>
          <w:p w:rsidR="00F15D10" w:rsidRPr="00F15D10" w:rsidRDefault="00F15D10" w:rsidP="00D06EA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15D10">
              <w:rPr>
                <w:rFonts w:ascii="Arial" w:hAnsi="Arial" w:cs="Arial"/>
                <w:sz w:val="24"/>
                <w:szCs w:val="24"/>
              </w:rPr>
              <w:t>Diagnostico tecnológico en las comunidades</w:t>
            </w:r>
          </w:p>
          <w:p w:rsidR="00F15D10" w:rsidRPr="00F15D10" w:rsidRDefault="00F15D10" w:rsidP="00D06EA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15D10">
              <w:rPr>
                <w:rFonts w:ascii="Arial" w:hAnsi="Arial" w:cs="Arial"/>
                <w:sz w:val="24"/>
                <w:szCs w:val="24"/>
              </w:rPr>
              <w:t>En necesario conocer la situación tecnológica que prevaleciente en las comunidades, reconociendo como tecnologías todos aquellos procesos en los que intervienen instrumentos, herramientas, maquinarias y/o artefactos, y la relación que se da entre los usos de estos artefactos y el desarrollo de habilidades específicas. Esto será posible si contamos con un listado claro de las diversas tecnologías conocidas, usadas o en desuso en la comunidad. y permitirá al docente tener una fuente de objetos de estudio dentro de la escuela.</w:t>
            </w:r>
          </w:p>
          <w:p w:rsidR="00F15D10" w:rsidRPr="00F15D10" w:rsidRDefault="00F15D10" w:rsidP="00D06EA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15D10">
              <w:rPr>
                <w:rFonts w:ascii="Arial" w:hAnsi="Arial" w:cs="Arial"/>
                <w:sz w:val="24"/>
                <w:szCs w:val="24"/>
              </w:rPr>
              <w:t>Diagnostico en los géneros en la comunidad</w:t>
            </w:r>
          </w:p>
          <w:p w:rsidR="00F15D10" w:rsidRPr="00F15D10" w:rsidRDefault="00F15D10" w:rsidP="00D06EA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15D10">
              <w:rPr>
                <w:rFonts w:ascii="Arial" w:hAnsi="Arial" w:cs="Arial"/>
                <w:sz w:val="24"/>
                <w:szCs w:val="24"/>
              </w:rPr>
              <w:t>También es necesario identificar aspectos importantes para trabajar en la equidad de género, ya que ésta constituye un instrumento para alcanzar la justicia y la igualdad entre hombres y mujeres mediante acciones que eliminen los obstáculos de acceso a los medios de desarrollo humano y social.</w:t>
            </w:r>
          </w:p>
          <w:p w:rsidR="00F15D10" w:rsidRPr="00F15D10" w:rsidRDefault="00F15D10" w:rsidP="00D06EA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15D10">
              <w:rPr>
                <w:rFonts w:ascii="Arial" w:hAnsi="Arial" w:cs="Arial"/>
                <w:sz w:val="24"/>
                <w:szCs w:val="24"/>
              </w:rPr>
              <w:t>Trabajar por alcanzar la equidad de género no implica transgredir los usos y costumbres de las comunidades, ante todo implica identificar algunas situaciones comunitarias de inequidad.</w:t>
            </w:r>
          </w:p>
          <w:p w:rsidR="001A52F7" w:rsidRPr="00F15D10" w:rsidRDefault="001A52F7" w:rsidP="00D06EA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rsidR="0000384B" w:rsidRDefault="007E041A"/>
    <w:sectPr w:rsidR="0000384B" w:rsidSect="00D06EA1">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2F7"/>
    <w:rsid w:val="00175E48"/>
    <w:rsid w:val="001A52F7"/>
    <w:rsid w:val="002A646A"/>
    <w:rsid w:val="002B7E6F"/>
    <w:rsid w:val="007E041A"/>
    <w:rsid w:val="00C71310"/>
    <w:rsid w:val="00D06EA1"/>
    <w:rsid w:val="00D265F8"/>
    <w:rsid w:val="00F15D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1E2D33-9D0C-4F62-A202-00906474B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A5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A646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2A646A"/>
    <w:rPr>
      <w:color w:val="0000FF"/>
      <w:u w:val="single"/>
    </w:rPr>
  </w:style>
  <w:style w:type="table" w:styleId="Tabladecuadrcula2-nfasis4">
    <w:name w:val="Grid Table 2 Accent 4"/>
    <w:basedOn w:val="Tablanormal"/>
    <w:uiPriority w:val="47"/>
    <w:rsid w:val="00F15D10"/>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cuadrcula2-nfasis5">
    <w:name w:val="Grid Table 2 Accent 5"/>
    <w:basedOn w:val="Tablanormal"/>
    <w:uiPriority w:val="47"/>
    <w:rsid w:val="00D06EA1"/>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5351637">
      <w:bodyDiv w:val="1"/>
      <w:marLeft w:val="0"/>
      <w:marRight w:val="0"/>
      <w:marTop w:val="0"/>
      <w:marBottom w:val="0"/>
      <w:divBdr>
        <w:top w:val="none" w:sz="0" w:space="0" w:color="auto"/>
        <w:left w:val="none" w:sz="0" w:space="0" w:color="auto"/>
        <w:bottom w:val="none" w:sz="0" w:space="0" w:color="auto"/>
        <w:right w:val="none" w:sz="0" w:space="0" w:color="auto"/>
      </w:divBdr>
      <w:divsChild>
        <w:div w:id="581531555">
          <w:marLeft w:val="0"/>
          <w:marRight w:val="0"/>
          <w:marTop w:val="0"/>
          <w:marBottom w:val="0"/>
          <w:divBdr>
            <w:top w:val="none" w:sz="0" w:space="0" w:color="auto"/>
            <w:left w:val="none" w:sz="0" w:space="0" w:color="auto"/>
            <w:bottom w:val="none" w:sz="0" w:space="0" w:color="auto"/>
            <w:right w:val="none" w:sz="0" w:space="0" w:color="auto"/>
          </w:divBdr>
        </w:div>
      </w:divsChild>
    </w:div>
    <w:div w:id="188232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201.117.133.137/sistema/Actividad/ActividadPresentacion.asp?e=enep-00042&amp;c=600765339&amp;p=B6A4719B7421M107B241746A0&amp;idMateria=6103&amp;idActividad=17352&amp;comp=enep-00042|17352|2021/06/04|5415&amp;z1=19308989&amp;z2=10097134" TargetMode="Externa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974</Words>
  <Characters>5358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y Vianney</dc:creator>
  <cp:keywords/>
  <dc:description/>
  <cp:lastModifiedBy>Arleth Velazquez</cp:lastModifiedBy>
  <cp:revision>2</cp:revision>
  <dcterms:created xsi:type="dcterms:W3CDTF">2021-06-04T22:54:00Z</dcterms:created>
  <dcterms:modified xsi:type="dcterms:W3CDTF">2021-06-04T22:54:00Z</dcterms:modified>
</cp:coreProperties>
</file>