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E6F" w:rsidRDefault="002B7E6F" w:rsidP="002B7E6F">
      <w:pPr>
        <w:spacing w:line="360" w:lineRule="auto"/>
        <w:jc w:val="center"/>
        <w:rPr>
          <w:rFonts w:ascii="Arial" w:hAnsi="Arial" w:cs="Arial"/>
          <w:b/>
          <w:sz w:val="24"/>
        </w:rPr>
      </w:pPr>
    </w:p>
    <w:p w:rsidR="002B7E6F" w:rsidRPr="000C7EB8" w:rsidRDefault="002B7E6F" w:rsidP="002B7E6F">
      <w:pPr>
        <w:spacing w:line="360" w:lineRule="auto"/>
        <w:jc w:val="center"/>
        <w:rPr>
          <w:rFonts w:ascii="Arial" w:hAnsi="Arial" w:cs="Arial"/>
          <w:sz w:val="24"/>
        </w:rPr>
      </w:pPr>
      <w:r w:rsidRPr="000C7EB8">
        <w:rPr>
          <w:rFonts w:ascii="Arial" w:hAnsi="Arial" w:cs="Arial"/>
          <w:noProof/>
          <w:lang w:eastAsia="es-MX"/>
        </w:rPr>
        <w:drawing>
          <wp:anchor distT="0" distB="0" distL="114300" distR="114300" simplePos="0" relativeHeight="251659264" behindDoc="0" locked="0" layoutInCell="1" allowOverlap="1" wp14:anchorId="0EB67ED5" wp14:editId="0A2C5C9E">
            <wp:simplePos x="0" y="0"/>
            <wp:positionH relativeFrom="margin">
              <wp:align>left</wp:align>
            </wp:positionH>
            <wp:positionV relativeFrom="paragraph">
              <wp:posOffset>13335</wp:posOffset>
            </wp:positionV>
            <wp:extent cx="914400" cy="657225"/>
            <wp:effectExtent l="0" t="0" r="0" b="9525"/>
            <wp:wrapNone/>
            <wp:docPr id="1"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Pr="000C7EB8">
        <w:rPr>
          <w:rFonts w:ascii="Arial" w:hAnsi="Arial" w:cs="Arial"/>
          <w:b/>
          <w:sz w:val="24"/>
        </w:rPr>
        <w:t>ESCUELA NORMAL DE EDUCACIÓN PREESCOLAR</w:t>
      </w:r>
      <w:r w:rsidRPr="000C7EB8">
        <w:rPr>
          <w:rFonts w:ascii="Arial" w:hAnsi="Arial" w:cs="Arial"/>
          <w:sz w:val="24"/>
        </w:rPr>
        <w:br/>
        <w:t>Licenciatura en educación preescolar</w:t>
      </w:r>
      <w:r w:rsidRPr="000C7EB8">
        <w:rPr>
          <w:rFonts w:ascii="Arial" w:hAnsi="Arial" w:cs="Arial"/>
          <w:sz w:val="24"/>
        </w:rPr>
        <w:br/>
        <w:t>Ciclo escolar 2020-2021</w:t>
      </w:r>
      <w:r w:rsidRPr="000C7EB8">
        <w:rPr>
          <w:rFonts w:ascii="Arial" w:hAnsi="Arial" w:cs="Arial"/>
          <w:sz w:val="24"/>
        </w:rPr>
        <w:br/>
        <w:t>2do semestre sección “B”</w:t>
      </w:r>
      <w:r w:rsidRPr="000C7EB8">
        <w:rPr>
          <w:rFonts w:ascii="Arial" w:hAnsi="Arial" w:cs="Arial"/>
          <w:sz w:val="24"/>
        </w:rPr>
        <w:br/>
        <w:t>Curso: Planeación y evaluación de la enseñanza y el aprendizaje</w:t>
      </w:r>
      <w:r w:rsidRPr="000C7EB8">
        <w:rPr>
          <w:rFonts w:ascii="Arial" w:hAnsi="Arial" w:cs="Arial"/>
          <w:sz w:val="24"/>
        </w:rPr>
        <w:br/>
        <w:t>Trabajo:</w:t>
      </w:r>
      <w:r w:rsidRPr="002B7E6F">
        <w:rPr>
          <w:rFonts w:ascii="Arial" w:hAnsi="Arial" w:cs="Arial"/>
          <w:sz w:val="24"/>
        </w:rPr>
        <w:t xml:space="preserve"> </w:t>
      </w:r>
      <w:hyperlink r:id="rId5" w:history="1">
        <w:r w:rsidRPr="002B7E6F">
          <w:rPr>
            <w:rStyle w:val="Hipervnculo"/>
            <w:rFonts w:ascii="Arial" w:hAnsi="Arial" w:cs="Arial"/>
            <w:color w:val="000000"/>
            <w:u w:val="none"/>
          </w:rPr>
          <w:t>Cuadro de aspectos del diagnóstico del niño.</w:t>
        </w:r>
      </w:hyperlink>
      <w:r w:rsidRPr="000C7EB8">
        <w:rPr>
          <w:rFonts w:ascii="Arial" w:hAnsi="Arial" w:cs="Arial"/>
          <w:sz w:val="24"/>
        </w:rPr>
        <w:br/>
        <w:t>Alumnas: Rosario Guadalupe Arroyo Espinoza #3</w:t>
      </w:r>
      <w:r w:rsidRPr="000C7EB8">
        <w:rPr>
          <w:rFonts w:ascii="Arial" w:hAnsi="Arial" w:cs="Arial"/>
          <w:sz w:val="24"/>
        </w:rPr>
        <w:br/>
        <w:t>María Guadalupe Salazar Martínez #13</w:t>
      </w:r>
      <w:r w:rsidRPr="000C7EB8">
        <w:rPr>
          <w:rFonts w:ascii="Arial" w:hAnsi="Arial" w:cs="Arial"/>
          <w:sz w:val="24"/>
        </w:rPr>
        <w:br/>
      </w:r>
      <w:proofErr w:type="spellStart"/>
      <w:r w:rsidRPr="000C7EB8">
        <w:rPr>
          <w:rFonts w:ascii="Arial" w:hAnsi="Arial" w:cs="Arial"/>
          <w:sz w:val="24"/>
        </w:rPr>
        <w:t>Vianney</w:t>
      </w:r>
      <w:proofErr w:type="spellEnd"/>
      <w:r w:rsidRPr="000C7EB8">
        <w:rPr>
          <w:rFonts w:ascii="Arial" w:hAnsi="Arial" w:cs="Arial"/>
          <w:sz w:val="24"/>
        </w:rPr>
        <w:t xml:space="preserve"> Daniela Torres Salazar #18</w:t>
      </w:r>
      <w:r w:rsidRPr="000C7EB8">
        <w:rPr>
          <w:rFonts w:ascii="Arial" w:hAnsi="Arial" w:cs="Arial"/>
          <w:sz w:val="24"/>
        </w:rPr>
        <w:br/>
        <w:t>Leonardo Torres Valdés #19</w:t>
      </w:r>
      <w:r w:rsidRPr="000C7EB8">
        <w:rPr>
          <w:rFonts w:ascii="Arial" w:hAnsi="Arial" w:cs="Arial"/>
          <w:sz w:val="24"/>
        </w:rPr>
        <w:br/>
      </w:r>
      <w:proofErr w:type="spellStart"/>
      <w:r w:rsidRPr="000C7EB8">
        <w:rPr>
          <w:rFonts w:ascii="Arial" w:hAnsi="Arial" w:cs="Arial"/>
          <w:sz w:val="24"/>
        </w:rPr>
        <w:t>Arleth</w:t>
      </w:r>
      <w:proofErr w:type="spellEnd"/>
      <w:r w:rsidRPr="000C7EB8">
        <w:rPr>
          <w:rFonts w:ascii="Arial" w:hAnsi="Arial" w:cs="Arial"/>
          <w:sz w:val="24"/>
        </w:rPr>
        <w:t xml:space="preserve"> Velázquez Hernández #21</w:t>
      </w:r>
      <w:r w:rsidRPr="000C7EB8">
        <w:rPr>
          <w:rFonts w:ascii="Arial" w:hAnsi="Arial" w:cs="Arial"/>
          <w:sz w:val="24"/>
        </w:rPr>
        <w:br/>
        <w:t>Profesor: Gerardo Garza Alcalá</w:t>
      </w:r>
      <w:r w:rsidRPr="000C7EB8">
        <w:rPr>
          <w:rFonts w:ascii="Arial" w:hAnsi="Arial" w:cs="Arial"/>
          <w:sz w:val="24"/>
        </w:rPr>
        <w:br/>
        <w:t>Competencias:</w:t>
      </w:r>
      <w:r w:rsidRPr="000C7EB8">
        <w:rPr>
          <w:rFonts w:ascii="Arial" w:hAnsi="Arial" w:cs="Arial"/>
          <w:b/>
          <w:sz w:val="24"/>
        </w:rPr>
        <w:br/>
      </w:r>
      <w:r w:rsidRPr="000C7EB8">
        <w:rPr>
          <w:rFonts w:ascii="Arial" w:hAnsi="Arial" w:cs="Arial"/>
          <w:sz w:val="24"/>
        </w:rPr>
        <w:t xml:space="preserve">-Elabora diagnósticos de los intereses, motivaciones y necesidades formativas de los alumnos para organizar las actividades de aprendizaje, así como las adecuaciones curriculares y didácticas pertinentes. </w:t>
      </w:r>
      <w:r w:rsidRPr="000C7EB8">
        <w:rPr>
          <w:rFonts w:ascii="Arial" w:hAnsi="Arial" w:cs="Arial"/>
          <w:sz w:val="24"/>
        </w:rPr>
        <w:br/>
        <w:t xml:space="preserve">-Selecciona estrategias que favorecen el desarrollo intelectual, físico, social y emocional de los alumnos para procurar el logro de los aprendizajes. </w:t>
      </w:r>
      <w:r w:rsidRPr="000C7EB8">
        <w:rPr>
          <w:rFonts w:ascii="Arial" w:hAnsi="Arial" w:cs="Arial"/>
          <w:sz w:val="24"/>
        </w:rPr>
        <w:br/>
        <w:t>-Evalúa el aprendizaje de sus alumnos mediante la aplicación de distintas teorías, métodos e instrumentos considerando las áreas, campos y ámbitos de conocimiento, así como los saberes correspondientes al grado y nivel educativo.</w:t>
      </w:r>
    </w:p>
    <w:p w:rsidR="00D265F8" w:rsidRPr="002B7E6F" w:rsidRDefault="002B7E6F" w:rsidP="002B7E6F">
      <w:pPr>
        <w:spacing w:line="360" w:lineRule="auto"/>
        <w:jc w:val="center"/>
        <w:rPr>
          <w:rFonts w:ascii="Arial" w:hAnsi="Arial" w:cs="Arial"/>
          <w:sz w:val="24"/>
        </w:rPr>
      </w:pPr>
      <w:r w:rsidRPr="000C7EB8">
        <w:rPr>
          <w:rFonts w:ascii="Arial" w:hAnsi="Arial" w:cs="Arial"/>
          <w:sz w:val="24"/>
        </w:rPr>
        <w:br/>
        <w:t>Saltillo, Coahuila de Zaragoz</w:t>
      </w:r>
      <w:r>
        <w:rPr>
          <w:rFonts w:ascii="Arial" w:hAnsi="Arial" w:cs="Arial"/>
          <w:sz w:val="24"/>
        </w:rPr>
        <w:t>a                           junio de 2021</w:t>
      </w:r>
      <w:r w:rsidRPr="000C7EB8">
        <w:rPr>
          <w:rFonts w:ascii="Arial" w:hAnsi="Arial" w:cs="Arial"/>
          <w:sz w:val="24"/>
        </w:rPr>
        <w:t xml:space="preserve"> </w:t>
      </w:r>
    </w:p>
    <w:p w:rsidR="00D265F8" w:rsidRDefault="00D265F8">
      <w:pPr>
        <w:rPr>
          <w:b/>
          <w:bCs/>
        </w:rPr>
      </w:pPr>
    </w:p>
    <w:p w:rsidR="00D265F8" w:rsidRDefault="00D265F8"/>
    <w:p w:rsidR="002B7E6F" w:rsidRPr="002B7E6F" w:rsidRDefault="0087105D" w:rsidP="002B7E6F">
      <w:pPr>
        <w:jc w:val="center"/>
        <w:rPr>
          <w:b/>
          <w:sz w:val="32"/>
        </w:rPr>
      </w:pPr>
      <w:hyperlink r:id="rId6" w:history="1">
        <w:r w:rsidR="002B7E6F" w:rsidRPr="002B7E6F">
          <w:rPr>
            <w:rStyle w:val="Hipervnculo"/>
            <w:rFonts w:ascii="Arial" w:hAnsi="Arial" w:cs="Arial"/>
            <w:b/>
            <w:color w:val="000000"/>
            <w:sz w:val="32"/>
            <w:u w:val="none"/>
          </w:rPr>
          <w:t>Cuadro de aspectos del diagnóstico del niño.</w:t>
        </w:r>
      </w:hyperlink>
    </w:p>
    <w:tbl>
      <w:tblPr>
        <w:tblStyle w:val="Tablaconcuadrcula2-nfasis5"/>
        <w:tblpPr w:leftFromText="141" w:rightFromText="141" w:horzAnchor="margin" w:tblpY="600"/>
        <w:tblW w:w="5000" w:type="pct"/>
        <w:tblLook w:val="04A0" w:firstRow="1" w:lastRow="0" w:firstColumn="1" w:lastColumn="0" w:noHBand="0" w:noVBand="1"/>
      </w:tblPr>
      <w:tblGrid>
        <w:gridCol w:w="4798"/>
        <w:gridCol w:w="4801"/>
        <w:gridCol w:w="4801"/>
      </w:tblGrid>
      <w:tr w:rsidR="001A52F7" w:rsidRPr="00F15D10" w:rsidTr="00D06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A52F7" w:rsidRPr="00F15D10" w:rsidRDefault="001A52F7" w:rsidP="00D06EA1">
            <w:pPr>
              <w:jc w:val="center"/>
              <w:rPr>
                <w:rFonts w:ascii="Arial" w:hAnsi="Arial" w:cs="Arial"/>
                <w:b w:val="0"/>
                <w:sz w:val="24"/>
                <w:szCs w:val="24"/>
              </w:rPr>
            </w:pPr>
            <w:r w:rsidRPr="00F15D10">
              <w:rPr>
                <w:rFonts w:ascii="Arial" w:hAnsi="Arial" w:cs="Arial"/>
                <w:b w:val="0"/>
                <w:sz w:val="24"/>
                <w:szCs w:val="24"/>
              </w:rPr>
              <w:t>Contexto familiar</w:t>
            </w:r>
          </w:p>
        </w:tc>
        <w:tc>
          <w:tcPr>
            <w:tcW w:w="1667" w:type="pct"/>
          </w:tcPr>
          <w:p w:rsidR="001A52F7" w:rsidRPr="00F15D10" w:rsidRDefault="00F15D10" w:rsidP="00D06EA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F15D10">
              <w:rPr>
                <w:rFonts w:ascii="Arial" w:hAnsi="Arial" w:cs="Arial"/>
                <w:b w:val="0"/>
                <w:sz w:val="24"/>
                <w:szCs w:val="24"/>
              </w:rPr>
              <w:t>Niño</w:t>
            </w:r>
          </w:p>
        </w:tc>
        <w:tc>
          <w:tcPr>
            <w:tcW w:w="1667" w:type="pct"/>
          </w:tcPr>
          <w:p w:rsidR="001A52F7" w:rsidRPr="00F15D10" w:rsidRDefault="001A52F7" w:rsidP="00D06EA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F15D10">
              <w:rPr>
                <w:rFonts w:ascii="Arial" w:hAnsi="Arial" w:cs="Arial"/>
                <w:b w:val="0"/>
                <w:sz w:val="24"/>
                <w:szCs w:val="24"/>
              </w:rPr>
              <w:t>Contexto escolar</w:t>
            </w:r>
          </w:p>
        </w:tc>
      </w:tr>
      <w:tr w:rsidR="001A52F7" w:rsidRPr="00F15D10" w:rsidTr="00D06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rsidR="001A52F7" w:rsidRPr="00F15D10" w:rsidRDefault="001A52F7" w:rsidP="00D06EA1">
            <w:pPr>
              <w:rPr>
                <w:rFonts w:ascii="Arial" w:hAnsi="Arial" w:cs="Arial"/>
                <w:b w:val="0"/>
                <w:sz w:val="24"/>
                <w:szCs w:val="24"/>
              </w:rPr>
            </w:pPr>
            <w:r w:rsidRPr="00F15D10">
              <w:rPr>
                <w:rFonts w:ascii="Arial" w:hAnsi="Arial" w:cs="Arial"/>
                <w:b w:val="0"/>
                <w:sz w:val="24"/>
                <w:szCs w:val="24"/>
              </w:rPr>
              <w:t xml:space="preserve">En el diagnóstico familiar no se emplean medidas cuantitativas tampoco se procede por integración de datos de diferente naturaleza para poder entender la globalidad del contexto en el que está inserto el paciente identificado </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Mediante el diagnóstico familiar no se pretende llegar a un conocimiento preciso y sin fallo, si no a un conocimiento aproximado de la familia</w:t>
            </w:r>
          </w:p>
          <w:p w:rsidR="00F15D10" w:rsidRPr="00F15D10" w:rsidRDefault="00F15D10" w:rsidP="00D06EA1">
            <w:pPr>
              <w:rPr>
                <w:rFonts w:ascii="Arial" w:hAnsi="Arial" w:cs="Arial"/>
                <w:b w:val="0"/>
                <w:sz w:val="24"/>
                <w:szCs w:val="24"/>
              </w:rPr>
            </w:pPr>
            <w:r w:rsidRPr="00F15D10">
              <w:rPr>
                <w:rFonts w:ascii="Arial" w:hAnsi="Arial" w:cs="Arial"/>
                <w:b w:val="0"/>
                <w:sz w:val="24"/>
                <w:szCs w:val="24"/>
              </w:rPr>
              <w:t>Tipos de familia (cuántos integrantes tienen la familia) Rol del hombre y la mujer (qué papel ocupa el hombre y la mujer en la familia) Actividades de los niños (qué hacen los niños de tu comunidad, a qué juegan) Relaciones familiares (cómo son las normas, valores, relaciones afectivas) Comunicación familiar (cómo es la comunicación entre los integrantes)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Miembros de la unidad familiar</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Nivel socio-económico de la familia</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Nivel educativo de los padres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Estilo educativo de los padres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Relación de pareja</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Ambiente familiar extenso</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La familia y el estrés</w:t>
            </w:r>
          </w:p>
          <w:p w:rsidR="001A52F7" w:rsidRPr="00F15D10" w:rsidRDefault="001A52F7" w:rsidP="00D06EA1">
            <w:pPr>
              <w:rPr>
                <w:rFonts w:ascii="Arial" w:hAnsi="Arial" w:cs="Arial"/>
                <w:b w:val="0"/>
                <w:sz w:val="24"/>
                <w:szCs w:val="24"/>
              </w:rPr>
            </w:pPr>
            <w:r w:rsidRPr="00F15D10">
              <w:rPr>
                <w:rFonts w:ascii="Arial" w:hAnsi="Arial" w:cs="Arial"/>
                <w:b w:val="0"/>
                <w:sz w:val="24"/>
                <w:szCs w:val="24"/>
              </w:rPr>
              <w:t xml:space="preserve"> En conclusión, el conocimiento del contexto familiar es vital, el niño en muchos aspectos es reflejo de su realidad familiar, de su cultura, creencias y expectativas. Es fundamental prevenir los factores de riesgo que conllevan el mal desarrollo del niño, sobre todo si éste, de por sí, presenta algún tipo de trastorno.</w:t>
            </w:r>
          </w:p>
        </w:tc>
        <w:tc>
          <w:tcPr>
            <w:tcW w:w="1667" w:type="pct"/>
          </w:tcPr>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Una de las Utilidades más importantes de la evaluación diagnóstica es la detección de las dificultades del alumno, esto permitirá al docente realizar las modificaciones necesarias, observar los aspectos especiales a trabajar, cambiar formas o estrategias, o quitar y agregar contenidos.</w:t>
            </w:r>
          </w:p>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tiene un gran valor como herramienta para monitorear la evolución del proceso de enseñanza-aprendizaje.</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Estado físico general, es preciso observar que el estado físico gen</w:t>
            </w:r>
            <w:r w:rsidR="002B7E6F">
              <w:rPr>
                <w:rFonts w:ascii="Arial" w:hAnsi="Arial" w:cs="Arial"/>
                <w:sz w:val="24"/>
                <w:szCs w:val="24"/>
              </w:rPr>
              <w:t xml:space="preserve">eral que presenta el alumno. </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Crecimiento físico: Toda la edad escolar se caracteriza por un rápido y notable </w:t>
            </w:r>
            <w:r w:rsidR="002B7E6F">
              <w:rPr>
                <w:rFonts w:ascii="Arial" w:hAnsi="Arial" w:cs="Arial"/>
                <w:sz w:val="24"/>
                <w:szCs w:val="24"/>
              </w:rPr>
              <w:t xml:space="preserve">crecimiento en talla y peso. </w:t>
            </w:r>
          </w:p>
          <w:p w:rsidR="001A52F7" w:rsidRPr="00F15D10" w:rsidRDefault="002B7E6F"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Visión. </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Audición.</w:t>
            </w:r>
          </w:p>
          <w:p w:rsidR="002A646A"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lo que le ocurre a ese niño; </w:t>
            </w:r>
            <w:r w:rsidR="002A646A" w:rsidRPr="00F15D10">
              <w:rPr>
                <w:rFonts w:ascii="Arial" w:hAnsi="Arial" w:cs="Arial"/>
                <w:sz w:val="24"/>
                <w:szCs w:val="24"/>
              </w:rPr>
              <w:t>lo que le sucede en su</w:t>
            </w:r>
            <w:r w:rsidRPr="00F15D10">
              <w:rPr>
                <w:rFonts w:ascii="Arial" w:hAnsi="Arial" w:cs="Arial"/>
                <w:sz w:val="24"/>
                <w:szCs w:val="24"/>
              </w:rPr>
              <w:t xml:space="preserve"> familia</w:t>
            </w:r>
            <w:r w:rsidR="002A646A" w:rsidRPr="00F15D10">
              <w:rPr>
                <w:rFonts w:ascii="Arial" w:hAnsi="Arial" w:cs="Arial"/>
                <w:sz w:val="24"/>
                <w:szCs w:val="24"/>
              </w:rPr>
              <w:t>.</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Con ellos realizaría eventualmente diversos tipos de entrevista que no podría reglar de igual modo para todos los casos. En términos generales I) entrevista con los padres; II) entrevistas con el niño; III) entrevistas </w:t>
            </w:r>
            <w:r w:rsidR="002A646A" w:rsidRPr="00F15D10">
              <w:rPr>
                <w:rFonts w:ascii="Arial" w:hAnsi="Arial" w:cs="Arial"/>
                <w:sz w:val="24"/>
                <w:szCs w:val="24"/>
              </w:rPr>
              <w:t>familiares y/o vinculares y IV)</w:t>
            </w:r>
            <w:r w:rsidR="00F15D10">
              <w:rPr>
                <w:rFonts w:ascii="Arial" w:hAnsi="Arial" w:cs="Arial"/>
                <w:sz w:val="24"/>
                <w:szCs w:val="24"/>
              </w:rPr>
              <w:t xml:space="preserve"> </w:t>
            </w:r>
            <w:r w:rsidR="002A646A" w:rsidRPr="00F15D10">
              <w:rPr>
                <w:rFonts w:ascii="Arial" w:hAnsi="Arial" w:cs="Arial"/>
                <w:sz w:val="24"/>
                <w:szCs w:val="24"/>
              </w:rPr>
              <w:t xml:space="preserve">entrevista </w:t>
            </w:r>
            <w:r w:rsidRPr="00F15D10">
              <w:rPr>
                <w:rFonts w:ascii="Arial" w:hAnsi="Arial" w:cs="Arial"/>
                <w:sz w:val="24"/>
                <w:szCs w:val="24"/>
              </w:rPr>
              <w:t>de devolución e indicación.</w:t>
            </w:r>
          </w:p>
          <w:p w:rsidR="002A646A" w:rsidRPr="00F15D10" w:rsidRDefault="002A646A"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67" w:type="pct"/>
          </w:tcPr>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Diagnóstico de la Salud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El análisis y la caracterización de los contextos sociales y comunitarios en sus aspectos económico, geográfico, de bienestar social, salud, comunicación y organización, constituyen tanto un punto de partida como un producto final dentro de los procesos de enseñanza y aprendizaje.</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Cada una de las enfermedades detectadas puede ser objeto de trabajo y estudio posterior por parte del grupo escolar, o bien el blanco de acciones posibles para mejorar las condiciones de salud de la comunidad, mediante un trabajo conjunto con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en el ámbito escolar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 xml:space="preserve">Este ámbito se refiere a los espacios preferentemente escolares y a la participación de la comunidad en ellos. De cada persona conviene registrar el nivel educativo, grado escolar, qué sabe y puede aportar a la escuela y qué le interesaría aprender. Es importante tratar de incluir a todos los miembros de la comunidad. Además, se trata de recuperar las propuestas y experiencias educativas surgidas y desarrolladas en las propias comunidades por expertos tradicionales (músicos, curanderos y sus aprendices, tejedores, artesanos, campesinos y demás), con el fin de apoyarse en esos modos de enseñar y aprender que la comunidad ya conoce, y fomentar su </w:t>
            </w:r>
            <w:r w:rsidRPr="00F15D10">
              <w:rPr>
                <w:rFonts w:ascii="Arial" w:hAnsi="Arial" w:cs="Arial"/>
                <w:sz w:val="24"/>
                <w:szCs w:val="24"/>
              </w:rPr>
              <w:lastRenderedPageBreak/>
              <w:t>vinculación con los esfuerzos de estudio de los escolares.</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tecnológico en las comunidades</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En necesario conocer la situación tecnológica que prevaleciente en las comunidades, reconociendo como tecnologías todos aquellos procesos en los que intervienen instrumentos, herramientas, maquinarias y/o artefactos, y la relación que se da entre los usos de estos artefactos y el desarrollo de habilidades específicas. Esto será posible si contamos con un listado claro de las diversas tecnologías conocidas, usadas o en desuso en la comunidad. y permitirá al docente tener una fuente de objetos de estudio dentro de la escuela.</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Diagnostico en los géneros en la comunidad</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También es necesario identificar aspectos importantes para trabajar en la equidad de género, ya que ésta constituye un instrumento para alcanzar la justicia y la igualdad entre hombres y mujeres mediante acciones que eliminen los obstáculos de acceso a los medios de desarrollo humano y social.</w:t>
            </w:r>
          </w:p>
          <w:p w:rsidR="00F15D10" w:rsidRPr="00F15D10" w:rsidRDefault="00F15D10"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15D10">
              <w:rPr>
                <w:rFonts w:ascii="Arial" w:hAnsi="Arial" w:cs="Arial"/>
                <w:sz w:val="24"/>
                <w:szCs w:val="24"/>
              </w:rPr>
              <w:t>Trabajar por alcanzar la equidad de género no implica transgredir los usos y costumbres de las comunidades, ante todo implica identificar algunas situaciones comunitarias de inequidad.</w:t>
            </w:r>
          </w:p>
          <w:p w:rsidR="001A52F7" w:rsidRPr="00F15D10" w:rsidRDefault="001A52F7" w:rsidP="00D06E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00384B" w:rsidRDefault="0087105D"/>
    <w:sectPr w:rsidR="0000384B" w:rsidSect="00D06EA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F7"/>
    <w:rsid w:val="00175E48"/>
    <w:rsid w:val="001A52F7"/>
    <w:rsid w:val="002A646A"/>
    <w:rsid w:val="002B7E6F"/>
    <w:rsid w:val="0087105D"/>
    <w:rsid w:val="00C71310"/>
    <w:rsid w:val="00D06EA1"/>
    <w:rsid w:val="00D265F8"/>
    <w:rsid w:val="00F15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E2D33-9D0C-4F62-A202-00906474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A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64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A646A"/>
    <w:rPr>
      <w:color w:val="0000FF"/>
      <w:u w:val="single"/>
    </w:rPr>
  </w:style>
  <w:style w:type="table" w:styleId="Tablaconcuadrcula2-nfasis4">
    <w:name w:val="Grid Table 2 Accent 4"/>
    <w:basedOn w:val="Tablanormal"/>
    <w:uiPriority w:val="47"/>
    <w:rsid w:val="00F15D1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D06EA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351637">
      <w:bodyDiv w:val="1"/>
      <w:marLeft w:val="0"/>
      <w:marRight w:val="0"/>
      <w:marTop w:val="0"/>
      <w:marBottom w:val="0"/>
      <w:divBdr>
        <w:top w:val="none" w:sz="0" w:space="0" w:color="auto"/>
        <w:left w:val="none" w:sz="0" w:space="0" w:color="auto"/>
        <w:bottom w:val="none" w:sz="0" w:space="0" w:color="auto"/>
        <w:right w:val="none" w:sz="0" w:space="0" w:color="auto"/>
      </w:divBdr>
      <w:divsChild>
        <w:div w:id="581531555">
          <w:marLeft w:val="0"/>
          <w:marRight w:val="0"/>
          <w:marTop w:val="0"/>
          <w:marBottom w:val="0"/>
          <w:divBdr>
            <w:top w:val="none" w:sz="0" w:space="0" w:color="auto"/>
            <w:left w:val="none" w:sz="0" w:space="0" w:color="auto"/>
            <w:bottom w:val="none" w:sz="0" w:space="0" w:color="auto"/>
            <w:right w:val="none" w:sz="0" w:space="0" w:color="auto"/>
          </w:divBdr>
        </w:div>
      </w:divsChild>
    </w:div>
    <w:div w:id="18823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201.117.133.137/sistema/Actividad/ActividadPresentacion.asp?e=enep-00042&amp;c=600765339&amp;p=B6A4719B7421M107B241746A0&amp;idMateria=6103&amp;idActividad=17352&amp;comp=enep-00042|17352|2021/06/04|5415&amp;z1=19308989&amp;z2=10097134" TargetMode="External" /><Relationship Id="rId5" Type="http://schemas.openxmlformats.org/officeDocument/2006/relationships/hyperlink" Target="http://201.117.133.137/sistema/Actividad/ActividadPresentacion.asp?e=enep-00042&amp;c=600765339&amp;p=B6A4719B7421M107B241746A0&amp;idMateria=6103&amp;idActividad=17352&amp;comp=enep-00042|17352|2021/06/04|5415&amp;z1=19308989&amp;z2=10097134" TargetMode="External" /><Relationship Id="rId4"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5358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VIANNEY DANIELA TORRES SALAZAR</cp:lastModifiedBy>
  <cp:revision>2</cp:revision>
  <dcterms:created xsi:type="dcterms:W3CDTF">2021-06-05T03:41:00Z</dcterms:created>
  <dcterms:modified xsi:type="dcterms:W3CDTF">2021-06-05T03:41:00Z</dcterms:modified>
</cp:coreProperties>
</file>