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AB" w:rsidRDefault="008552AB" w:rsidP="008552AB">
      <w:pPr>
        <w:jc w:val="center"/>
        <w:rPr>
          <w:b/>
          <w:bCs/>
          <w:sz w:val="40"/>
          <w:szCs w:val="40"/>
        </w:rPr>
      </w:pPr>
      <w:r>
        <w:rPr>
          <w:b/>
          <w:bCs/>
          <w:sz w:val="40"/>
          <w:szCs w:val="40"/>
        </w:rPr>
        <w:t>Escuela Normal De Educación Preescolar</w:t>
      </w:r>
    </w:p>
    <w:p w:rsidR="008552AB" w:rsidRDefault="008552AB" w:rsidP="008552AB">
      <w:pPr>
        <w:jc w:val="center"/>
        <w:rPr>
          <w:b/>
          <w:bCs/>
          <w:sz w:val="40"/>
          <w:szCs w:val="40"/>
        </w:rPr>
      </w:pPr>
      <w:r>
        <w:rPr>
          <w:noProof/>
        </w:rPr>
        <w:drawing>
          <wp:inline distT="0" distB="0" distL="0" distR="0" wp14:anchorId="7A0A5ED4" wp14:editId="7AE4E080">
            <wp:extent cx="1895475" cy="1409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8552AB" w:rsidRDefault="008552AB" w:rsidP="008552AB">
      <w:pPr>
        <w:jc w:val="center"/>
        <w:rPr>
          <w:b/>
          <w:bCs/>
          <w:sz w:val="32"/>
          <w:szCs w:val="32"/>
        </w:rPr>
      </w:pPr>
      <w:r>
        <w:rPr>
          <w:b/>
          <w:bCs/>
          <w:sz w:val="32"/>
          <w:szCs w:val="32"/>
        </w:rPr>
        <w:t xml:space="preserve">Licenciatura en educación preescolar </w:t>
      </w:r>
    </w:p>
    <w:p w:rsidR="008552AB" w:rsidRDefault="008552AB" w:rsidP="008552AB">
      <w:pPr>
        <w:jc w:val="center"/>
        <w:rPr>
          <w:sz w:val="32"/>
          <w:szCs w:val="32"/>
          <w:lang w:val="es-ES"/>
        </w:rPr>
      </w:pPr>
    </w:p>
    <w:p w:rsidR="008552AB" w:rsidRDefault="008552AB" w:rsidP="008552AB">
      <w:pPr>
        <w:jc w:val="center"/>
        <w:rPr>
          <w:sz w:val="36"/>
          <w:szCs w:val="36"/>
          <w:lang w:val="es-ES"/>
        </w:rPr>
      </w:pPr>
      <w:r>
        <w:rPr>
          <w:b/>
          <w:bCs/>
          <w:sz w:val="36"/>
          <w:szCs w:val="36"/>
        </w:rPr>
        <w:t xml:space="preserve">Materia: </w:t>
      </w:r>
      <w:r>
        <w:rPr>
          <w:sz w:val="36"/>
          <w:szCs w:val="36"/>
        </w:rPr>
        <w:t xml:space="preserve">Bases legales y normativas de la educación básica.   </w:t>
      </w:r>
    </w:p>
    <w:p w:rsidR="008552AB" w:rsidRDefault="008552AB" w:rsidP="008552AB">
      <w:pPr>
        <w:jc w:val="center"/>
        <w:rPr>
          <w:sz w:val="36"/>
          <w:szCs w:val="36"/>
          <w:lang w:val="es-ES"/>
        </w:rPr>
      </w:pPr>
      <w:r>
        <w:rPr>
          <w:b/>
          <w:bCs/>
          <w:sz w:val="36"/>
          <w:szCs w:val="36"/>
        </w:rPr>
        <w:t xml:space="preserve">Maestro: </w:t>
      </w:r>
      <w:r>
        <w:rPr>
          <w:sz w:val="36"/>
          <w:szCs w:val="36"/>
        </w:rPr>
        <w:t xml:space="preserve">Arturo Flores Rodríguez   </w:t>
      </w:r>
    </w:p>
    <w:p w:rsidR="008552AB" w:rsidRDefault="008552AB" w:rsidP="008552AB">
      <w:pPr>
        <w:jc w:val="center"/>
        <w:rPr>
          <w:sz w:val="36"/>
          <w:szCs w:val="36"/>
        </w:rPr>
      </w:pPr>
      <w:r>
        <w:rPr>
          <w:b/>
          <w:bCs/>
          <w:sz w:val="36"/>
          <w:szCs w:val="36"/>
        </w:rPr>
        <w:t xml:space="preserve">Unidad de aprendizaje 2: </w:t>
      </w:r>
      <w:r>
        <w:rPr>
          <w:sz w:val="36"/>
          <w:szCs w:val="36"/>
        </w:rPr>
        <w:t xml:space="preserve">Responsabilidades legales y éticos del quehacer profesional.   </w:t>
      </w:r>
    </w:p>
    <w:p w:rsidR="008552AB" w:rsidRDefault="008552AB" w:rsidP="008552AB">
      <w:pPr>
        <w:jc w:val="center"/>
        <w:rPr>
          <w:sz w:val="36"/>
          <w:szCs w:val="36"/>
          <w:lang w:val="es-ES"/>
        </w:rPr>
      </w:pPr>
      <w:r>
        <w:rPr>
          <w:sz w:val="36"/>
          <w:szCs w:val="36"/>
        </w:rPr>
        <w:t xml:space="preserve"> </w:t>
      </w:r>
    </w:p>
    <w:p w:rsidR="008552AB" w:rsidRDefault="008552AB" w:rsidP="008552AB">
      <w:pPr>
        <w:jc w:val="center"/>
        <w:rPr>
          <w:sz w:val="36"/>
          <w:szCs w:val="36"/>
          <w:lang w:val="es-ES"/>
        </w:rPr>
      </w:pPr>
      <w:r>
        <w:rPr>
          <w:b/>
          <w:bCs/>
          <w:sz w:val="36"/>
          <w:szCs w:val="36"/>
        </w:rPr>
        <w:t xml:space="preserve">Competencias de la unidad de aprendizaje: </w:t>
      </w:r>
    </w:p>
    <w:p w:rsidR="008552AB" w:rsidRDefault="008552AB" w:rsidP="008552AB">
      <w:pPr>
        <w:numPr>
          <w:ilvl w:val="0"/>
          <w:numId w:val="1"/>
        </w:numPr>
        <w:spacing w:line="256" w:lineRule="auto"/>
        <w:rPr>
          <w:sz w:val="32"/>
          <w:szCs w:val="32"/>
          <w:lang w:val="es-ES"/>
        </w:rPr>
      </w:pPr>
      <w:r>
        <w:rPr>
          <w:sz w:val="32"/>
          <w:szCs w:val="32"/>
          <w:lang w:val="es-ES"/>
        </w:rPr>
        <w:t>Integra recursos de la investigación educativa para enriquecer su práctica profesional expresando su interés por el conocimiento, la ciencia y la mejora de la educación.</w:t>
      </w:r>
    </w:p>
    <w:p w:rsidR="008552AB" w:rsidRDefault="008552AB" w:rsidP="008552AB">
      <w:pPr>
        <w:numPr>
          <w:ilvl w:val="0"/>
          <w:numId w:val="1"/>
        </w:numPr>
        <w:spacing w:after="160" w:line="256" w:lineRule="auto"/>
        <w:rPr>
          <w:sz w:val="32"/>
          <w:szCs w:val="32"/>
          <w:lang w:val="es-ES"/>
        </w:rPr>
      </w:pPr>
      <w:r>
        <w:rPr>
          <w:sz w:val="32"/>
          <w:szCs w:val="32"/>
          <w:lang w:val="es-ES"/>
        </w:rPr>
        <w:t xml:space="preserve">Actúa de manera ética ante la diversidad de situaciones que se presentan en la práctica profesional. </w:t>
      </w:r>
    </w:p>
    <w:p w:rsidR="008552AB" w:rsidRDefault="008552AB" w:rsidP="008552AB">
      <w:pPr>
        <w:jc w:val="center"/>
        <w:rPr>
          <w:sz w:val="36"/>
          <w:szCs w:val="36"/>
          <w:lang w:val="es-ES"/>
        </w:rPr>
      </w:pPr>
      <w:r>
        <w:rPr>
          <w:sz w:val="36"/>
          <w:szCs w:val="36"/>
          <w:u w:val="single"/>
          <w:lang w:val="es-ES"/>
        </w:rPr>
        <w:t xml:space="preserve">Actividad 2.7. Evidencia unidad 2.   </w:t>
      </w:r>
    </w:p>
    <w:p w:rsidR="008552AB" w:rsidRDefault="008552AB" w:rsidP="008552AB">
      <w:pPr>
        <w:jc w:val="center"/>
        <w:rPr>
          <w:sz w:val="36"/>
          <w:szCs w:val="36"/>
          <w:lang w:val="es-ES"/>
        </w:rPr>
      </w:pPr>
      <w:r>
        <w:rPr>
          <w:b/>
          <w:bCs/>
          <w:sz w:val="36"/>
          <w:szCs w:val="36"/>
        </w:rPr>
        <w:t xml:space="preserve">Alumna: </w:t>
      </w:r>
      <w:r>
        <w:rPr>
          <w:sz w:val="36"/>
          <w:szCs w:val="36"/>
        </w:rPr>
        <w:t xml:space="preserve">Griselda Estefanía García Barrera </w:t>
      </w:r>
      <w:r>
        <w:rPr>
          <w:b/>
          <w:bCs/>
          <w:sz w:val="36"/>
          <w:szCs w:val="36"/>
        </w:rPr>
        <w:t>N.L. 4</w:t>
      </w:r>
    </w:p>
    <w:p w:rsidR="008552AB" w:rsidRDefault="008552AB" w:rsidP="008552AB">
      <w:pPr>
        <w:jc w:val="center"/>
        <w:rPr>
          <w:sz w:val="36"/>
          <w:szCs w:val="36"/>
          <w:lang w:val="es-ES"/>
        </w:rPr>
      </w:pPr>
      <w:r>
        <w:rPr>
          <w:b/>
          <w:bCs/>
          <w:sz w:val="36"/>
          <w:szCs w:val="36"/>
        </w:rPr>
        <w:t>Sexto semestre Sección B</w:t>
      </w:r>
    </w:p>
    <w:p w:rsidR="008552AB" w:rsidRDefault="008552AB" w:rsidP="008552AB">
      <w:pPr>
        <w:jc w:val="center"/>
        <w:rPr>
          <w:sz w:val="36"/>
          <w:szCs w:val="36"/>
          <w:lang w:val="es-ES"/>
        </w:rPr>
      </w:pPr>
    </w:p>
    <w:p w:rsidR="008552AB" w:rsidRDefault="008552AB" w:rsidP="008552AB">
      <w:pPr>
        <w:jc w:val="right"/>
        <w:rPr>
          <w:sz w:val="32"/>
          <w:szCs w:val="32"/>
          <w:lang w:val="es-ES"/>
        </w:rPr>
      </w:pPr>
      <w:r>
        <w:rPr>
          <w:sz w:val="32"/>
          <w:szCs w:val="32"/>
        </w:rPr>
        <w:t>Saltillo, Coahuila</w:t>
      </w:r>
    </w:p>
    <w:p w:rsidR="008552AB" w:rsidRDefault="008552AB" w:rsidP="008552AB">
      <w:pPr>
        <w:jc w:val="right"/>
        <w:rPr>
          <w:sz w:val="32"/>
          <w:szCs w:val="32"/>
        </w:rPr>
      </w:pPr>
      <w:r>
        <w:rPr>
          <w:sz w:val="32"/>
          <w:szCs w:val="32"/>
        </w:rPr>
        <w:t>23 de junio de 2021</w:t>
      </w:r>
    </w:p>
    <w:p w:rsidR="005035BA" w:rsidRDefault="005035BA"/>
    <w:p w:rsidR="008552AB" w:rsidRDefault="008552AB"/>
    <w:p w:rsidR="008552AB" w:rsidRDefault="008552AB"/>
    <w:p w:rsidR="008552AB" w:rsidRDefault="008552AB"/>
    <w:p w:rsidR="008552AB" w:rsidRDefault="008552AB"/>
    <w:p w:rsidR="008552AB" w:rsidRDefault="008552AB"/>
    <w:p w:rsidR="008552AB" w:rsidRDefault="008552AB"/>
    <w:p w:rsidR="008552AB" w:rsidRDefault="008552AB">
      <w:pPr>
        <w:spacing w:after="160" w:line="259" w:lineRule="auto"/>
      </w:pPr>
      <w:r>
        <w:br w:type="page"/>
      </w:r>
    </w:p>
    <w:p w:rsidR="008552AB" w:rsidRDefault="008552AB" w:rsidP="008552AB">
      <w:pPr>
        <w:spacing w:after="240" w:line="360" w:lineRule="auto"/>
        <w:jc w:val="center"/>
        <w:rPr>
          <w:rFonts w:ascii="Times New Roman" w:hAnsi="Times New Roman" w:cs="Times New Roman"/>
          <w:b/>
          <w:bCs/>
          <w:sz w:val="24"/>
          <w:szCs w:val="28"/>
        </w:rPr>
      </w:pPr>
      <w:r>
        <w:rPr>
          <w:rFonts w:ascii="Times New Roman" w:hAnsi="Times New Roman" w:cs="Times New Roman"/>
          <w:b/>
          <w:bCs/>
          <w:sz w:val="24"/>
          <w:szCs w:val="28"/>
        </w:rPr>
        <w:lastRenderedPageBreak/>
        <w:t>Importancia de las bases legales y normativas de la educación básica</w:t>
      </w:r>
    </w:p>
    <w:p w:rsidR="008552AB" w:rsidRDefault="008552AB" w:rsidP="008552AB">
      <w:pPr>
        <w:spacing w:after="240" w:line="360" w:lineRule="auto"/>
        <w:rPr>
          <w:rFonts w:ascii="Times New Roman" w:hAnsi="Times New Roman" w:cs="Times New Roman"/>
          <w:b/>
          <w:bCs/>
          <w:sz w:val="24"/>
          <w:szCs w:val="28"/>
        </w:rPr>
      </w:pPr>
      <w:r w:rsidRPr="008552AB">
        <w:rPr>
          <w:rFonts w:ascii="Times New Roman" w:hAnsi="Times New Roman" w:cs="Times New Roman"/>
          <w:b/>
          <w:bCs/>
          <w:sz w:val="24"/>
          <w:szCs w:val="28"/>
        </w:rPr>
        <w:t>Guion</w:t>
      </w:r>
      <w:r>
        <w:rPr>
          <w:rFonts w:ascii="Times New Roman" w:hAnsi="Times New Roman" w:cs="Times New Roman"/>
          <w:b/>
          <w:bCs/>
          <w:sz w:val="24"/>
          <w:szCs w:val="28"/>
        </w:rPr>
        <w:t xml:space="preserve"> de elaboración del video</w:t>
      </w:r>
    </w:p>
    <w:tbl>
      <w:tblPr>
        <w:tblStyle w:val="Tablaconcuadrcula"/>
        <w:tblW w:w="9226" w:type="dxa"/>
        <w:tblLook w:val="04A0" w:firstRow="1" w:lastRow="0" w:firstColumn="1" w:lastColumn="0" w:noHBand="0" w:noVBand="1"/>
      </w:tblPr>
      <w:tblGrid>
        <w:gridCol w:w="1883"/>
        <w:gridCol w:w="4069"/>
        <w:gridCol w:w="3274"/>
      </w:tblGrid>
      <w:tr w:rsidR="00DB0475" w:rsidTr="00DB0475">
        <w:trPr>
          <w:trHeight w:val="370"/>
        </w:trPr>
        <w:tc>
          <w:tcPr>
            <w:tcW w:w="1883" w:type="dxa"/>
            <w:vAlign w:val="center"/>
          </w:tcPr>
          <w:p w:rsidR="00DB0475" w:rsidRDefault="00DB0475" w:rsidP="000A6797">
            <w:pPr>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t>Minuto</w:t>
            </w:r>
          </w:p>
        </w:tc>
        <w:tc>
          <w:tcPr>
            <w:tcW w:w="4069" w:type="dxa"/>
            <w:vAlign w:val="center"/>
          </w:tcPr>
          <w:p w:rsidR="00DB0475" w:rsidRDefault="00DB0475" w:rsidP="000A6797">
            <w:pPr>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t>Tema</w:t>
            </w:r>
          </w:p>
        </w:tc>
        <w:tc>
          <w:tcPr>
            <w:tcW w:w="3274" w:type="dxa"/>
          </w:tcPr>
          <w:p w:rsidR="00DB0475" w:rsidRDefault="00DB0475" w:rsidP="000A6797">
            <w:pPr>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Descripción </w:t>
            </w:r>
          </w:p>
        </w:tc>
      </w:tr>
      <w:tr w:rsidR="00DB0475" w:rsidTr="00DB0475">
        <w:trPr>
          <w:trHeight w:val="417"/>
        </w:trPr>
        <w:tc>
          <w:tcPr>
            <w:tcW w:w="1883"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00:00 – 00:35</w:t>
            </w:r>
          </w:p>
        </w:tc>
        <w:tc>
          <w:tcPr>
            <w:tcW w:w="4069" w:type="dxa"/>
            <w:vAlign w:val="center"/>
          </w:tcPr>
          <w:p w:rsidR="00DB0475" w:rsidRPr="000A6797" w:rsidRDefault="00DB0475" w:rsidP="00DB0475">
            <w:pPr>
              <w:jc w:val="center"/>
              <w:rPr>
                <w:rFonts w:ascii="Times New Roman" w:hAnsi="Times New Roman" w:cs="Times New Roman"/>
                <w:sz w:val="24"/>
                <w:szCs w:val="28"/>
              </w:rPr>
            </w:pPr>
            <w:r w:rsidRPr="000A6797">
              <w:rPr>
                <w:rFonts w:ascii="Times New Roman" w:hAnsi="Times New Roman" w:cs="Times New Roman"/>
                <w:sz w:val="24"/>
                <w:szCs w:val="28"/>
              </w:rPr>
              <w:t>Presentación</w:t>
            </w:r>
          </w:p>
        </w:tc>
        <w:tc>
          <w:tcPr>
            <w:tcW w:w="3274" w:type="dxa"/>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Presentación personal y del tema. </w:t>
            </w:r>
          </w:p>
        </w:tc>
      </w:tr>
      <w:tr w:rsidR="00DB0475" w:rsidTr="00DB0475">
        <w:trPr>
          <w:trHeight w:val="402"/>
        </w:trPr>
        <w:tc>
          <w:tcPr>
            <w:tcW w:w="1883"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00:36 – 01:58 </w:t>
            </w:r>
          </w:p>
        </w:tc>
        <w:tc>
          <w:tcPr>
            <w:tcW w:w="4069"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Introducción </w:t>
            </w:r>
          </w:p>
        </w:tc>
        <w:tc>
          <w:tcPr>
            <w:tcW w:w="3274" w:type="dxa"/>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Se describen de manera general los puntos a abordar a lo largo del video y el propósito que este tiene. </w:t>
            </w:r>
          </w:p>
        </w:tc>
      </w:tr>
      <w:tr w:rsidR="00DB0475" w:rsidTr="00DB0475">
        <w:trPr>
          <w:trHeight w:val="820"/>
        </w:trPr>
        <w:tc>
          <w:tcPr>
            <w:tcW w:w="1883"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01:59 – 03:02 </w:t>
            </w:r>
          </w:p>
        </w:tc>
        <w:tc>
          <w:tcPr>
            <w:tcW w:w="4069"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Conceptualización del término educación </w:t>
            </w:r>
          </w:p>
        </w:tc>
        <w:tc>
          <w:tcPr>
            <w:tcW w:w="3274" w:type="dxa"/>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Se da una conceptualización general y posteriormente una más detallada del término educación. </w:t>
            </w:r>
          </w:p>
        </w:tc>
      </w:tr>
      <w:tr w:rsidR="00DB0475" w:rsidTr="00F83B7C">
        <w:trPr>
          <w:trHeight w:val="857"/>
        </w:trPr>
        <w:tc>
          <w:tcPr>
            <w:tcW w:w="1883"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03:03 – 03:41</w:t>
            </w:r>
          </w:p>
        </w:tc>
        <w:tc>
          <w:tcPr>
            <w:tcW w:w="4069" w:type="dxa"/>
            <w:vAlign w:val="center"/>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Artículo 3ro de la Constitución Política de los Estados Unidos Mexicanos</w:t>
            </w:r>
          </w:p>
        </w:tc>
        <w:tc>
          <w:tcPr>
            <w:tcW w:w="3274" w:type="dxa"/>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Se describe de manera general el artículo 3ro de la constitución política. </w:t>
            </w:r>
          </w:p>
        </w:tc>
      </w:tr>
      <w:tr w:rsidR="00DB0475" w:rsidTr="00DB0475">
        <w:trPr>
          <w:trHeight w:val="820"/>
        </w:trPr>
        <w:tc>
          <w:tcPr>
            <w:tcW w:w="1883" w:type="dxa"/>
            <w:vAlign w:val="center"/>
          </w:tcPr>
          <w:p w:rsidR="00DB0475" w:rsidRPr="000A6797"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03:42 – </w:t>
            </w:r>
            <w:r w:rsidR="00F83B7C">
              <w:rPr>
                <w:rFonts w:ascii="Times New Roman" w:hAnsi="Times New Roman" w:cs="Times New Roman"/>
                <w:sz w:val="24"/>
                <w:szCs w:val="28"/>
              </w:rPr>
              <w:t xml:space="preserve">05:33 </w:t>
            </w:r>
          </w:p>
        </w:tc>
        <w:tc>
          <w:tcPr>
            <w:tcW w:w="4069" w:type="dxa"/>
            <w:vAlign w:val="center"/>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Las 3 leyes secundarias del Artículo 3ro.  </w:t>
            </w:r>
          </w:p>
        </w:tc>
        <w:tc>
          <w:tcPr>
            <w:tcW w:w="3274" w:type="dxa"/>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Se hace una descripción de las tres leyes secundarias: </w:t>
            </w:r>
          </w:p>
          <w:p w:rsidR="00DB0475" w:rsidRPr="00DB0475" w:rsidRDefault="00DB0475" w:rsidP="00DB0475">
            <w:pPr>
              <w:pStyle w:val="Prrafodelista"/>
              <w:numPr>
                <w:ilvl w:val="0"/>
                <w:numId w:val="4"/>
              </w:numPr>
              <w:rPr>
                <w:rFonts w:ascii="Times New Roman" w:hAnsi="Times New Roman" w:cs="Times New Roman"/>
                <w:sz w:val="24"/>
                <w:szCs w:val="28"/>
              </w:rPr>
            </w:pPr>
            <w:r w:rsidRPr="00DB0475">
              <w:rPr>
                <w:rFonts w:ascii="Times New Roman" w:hAnsi="Times New Roman" w:cs="Times New Roman"/>
                <w:sz w:val="24"/>
                <w:szCs w:val="28"/>
              </w:rPr>
              <w:t xml:space="preserve">La ley general del sistema para la carrera de las maestras y los maestros. </w:t>
            </w:r>
          </w:p>
          <w:p w:rsidR="00DB0475" w:rsidRDefault="00DB0475" w:rsidP="00DB0475">
            <w:pPr>
              <w:pStyle w:val="Prrafodelista"/>
              <w:numPr>
                <w:ilvl w:val="0"/>
                <w:numId w:val="4"/>
              </w:numPr>
              <w:rPr>
                <w:rFonts w:ascii="Times New Roman" w:hAnsi="Times New Roman" w:cs="Times New Roman"/>
                <w:sz w:val="24"/>
                <w:szCs w:val="28"/>
              </w:rPr>
            </w:pPr>
            <w:r w:rsidRPr="00DB0475">
              <w:rPr>
                <w:rFonts w:ascii="Times New Roman" w:hAnsi="Times New Roman" w:cs="Times New Roman"/>
                <w:sz w:val="24"/>
                <w:szCs w:val="28"/>
              </w:rPr>
              <w:t xml:space="preserve">La reglamentaria en materia de mejora continua de la educación. </w:t>
            </w:r>
          </w:p>
          <w:p w:rsidR="00DB0475" w:rsidRPr="00F83B7C" w:rsidRDefault="00DB0475" w:rsidP="00F83B7C">
            <w:pPr>
              <w:pStyle w:val="Prrafodelista"/>
              <w:numPr>
                <w:ilvl w:val="0"/>
                <w:numId w:val="4"/>
              </w:numPr>
              <w:rPr>
                <w:rFonts w:ascii="Times New Roman" w:hAnsi="Times New Roman" w:cs="Times New Roman"/>
                <w:sz w:val="24"/>
                <w:szCs w:val="28"/>
              </w:rPr>
            </w:pPr>
            <w:r>
              <w:rPr>
                <w:rFonts w:ascii="Times New Roman" w:hAnsi="Times New Roman" w:cs="Times New Roman"/>
                <w:sz w:val="24"/>
                <w:szCs w:val="28"/>
              </w:rPr>
              <w:t>La ley general de educación</w:t>
            </w:r>
            <w:r w:rsidR="00F83B7C">
              <w:rPr>
                <w:rFonts w:ascii="Times New Roman" w:hAnsi="Times New Roman" w:cs="Times New Roman"/>
                <w:sz w:val="24"/>
                <w:szCs w:val="28"/>
              </w:rPr>
              <w:t>.</w:t>
            </w:r>
          </w:p>
        </w:tc>
      </w:tr>
      <w:tr w:rsidR="00DB0475" w:rsidTr="00DB0475">
        <w:trPr>
          <w:trHeight w:val="402"/>
        </w:trPr>
        <w:tc>
          <w:tcPr>
            <w:tcW w:w="1883" w:type="dxa"/>
            <w:vAlign w:val="center"/>
          </w:tcPr>
          <w:p w:rsidR="00DB0475" w:rsidRPr="000A6797" w:rsidRDefault="00F83B7C" w:rsidP="00DB0475">
            <w:pPr>
              <w:jc w:val="center"/>
              <w:rPr>
                <w:rFonts w:ascii="Times New Roman" w:hAnsi="Times New Roman" w:cs="Times New Roman"/>
                <w:sz w:val="24"/>
                <w:szCs w:val="28"/>
              </w:rPr>
            </w:pPr>
            <w:r>
              <w:rPr>
                <w:rFonts w:ascii="Times New Roman" w:hAnsi="Times New Roman" w:cs="Times New Roman"/>
                <w:sz w:val="24"/>
                <w:szCs w:val="28"/>
              </w:rPr>
              <w:t>05:34 – 06:02</w:t>
            </w:r>
          </w:p>
        </w:tc>
        <w:tc>
          <w:tcPr>
            <w:tcW w:w="4069" w:type="dxa"/>
            <w:vAlign w:val="center"/>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Nueva Escuela Mexicana </w:t>
            </w:r>
            <w:r w:rsidR="00F83B7C">
              <w:rPr>
                <w:rFonts w:ascii="Times New Roman" w:hAnsi="Times New Roman" w:cs="Times New Roman"/>
                <w:sz w:val="24"/>
                <w:szCs w:val="28"/>
              </w:rPr>
              <w:t>(NEM)</w:t>
            </w:r>
          </w:p>
        </w:tc>
        <w:tc>
          <w:tcPr>
            <w:tcW w:w="3274" w:type="dxa"/>
          </w:tcPr>
          <w:p w:rsidR="00DB0475" w:rsidRDefault="00F83B7C" w:rsidP="00DB0475">
            <w:pPr>
              <w:jc w:val="center"/>
              <w:rPr>
                <w:rFonts w:ascii="Times New Roman" w:hAnsi="Times New Roman" w:cs="Times New Roman"/>
                <w:sz w:val="24"/>
                <w:szCs w:val="28"/>
              </w:rPr>
            </w:pPr>
            <w:r>
              <w:rPr>
                <w:rFonts w:ascii="Times New Roman" w:hAnsi="Times New Roman" w:cs="Times New Roman"/>
                <w:sz w:val="24"/>
                <w:szCs w:val="28"/>
              </w:rPr>
              <w:t xml:space="preserve">Se habla del objetivo de la NEM. </w:t>
            </w:r>
          </w:p>
        </w:tc>
      </w:tr>
      <w:tr w:rsidR="00DB0475" w:rsidTr="00DB0475">
        <w:trPr>
          <w:trHeight w:val="402"/>
        </w:trPr>
        <w:tc>
          <w:tcPr>
            <w:tcW w:w="1883" w:type="dxa"/>
            <w:vAlign w:val="center"/>
          </w:tcPr>
          <w:p w:rsidR="00DB0475" w:rsidRPr="000A6797" w:rsidRDefault="00F83B7C" w:rsidP="00DB0475">
            <w:pPr>
              <w:jc w:val="center"/>
              <w:rPr>
                <w:rFonts w:ascii="Times New Roman" w:hAnsi="Times New Roman" w:cs="Times New Roman"/>
                <w:sz w:val="24"/>
                <w:szCs w:val="28"/>
              </w:rPr>
            </w:pPr>
            <w:r>
              <w:rPr>
                <w:rFonts w:ascii="Times New Roman" w:hAnsi="Times New Roman" w:cs="Times New Roman"/>
                <w:sz w:val="24"/>
                <w:szCs w:val="28"/>
              </w:rPr>
              <w:t>06:03 – 07:08</w:t>
            </w:r>
          </w:p>
        </w:tc>
        <w:tc>
          <w:tcPr>
            <w:tcW w:w="4069" w:type="dxa"/>
            <w:vAlign w:val="center"/>
          </w:tcPr>
          <w:p w:rsidR="00DB0475" w:rsidRDefault="00DB0475" w:rsidP="00DB0475">
            <w:pPr>
              <w:jc w:val="center"/>
              <w:rPr>
                <w:rFonts w:ascii="Times New Roman" w:hAnsi="Times New Roman" w:cs="Times New Roman"/>
                <w:sz w:val="24"/>
                <w:szCs w:val="28"/>
              </w:rPr>
            </w:pPr>
            <w:r>
              <w:rPr>
                <w:rFonts w:ascii="Times New Roman" w:hAnsi="Times New Roman" w:cs="Times New Roman"/>
                <w:sz w:val="24"/>
                <w:szCs w:val="28"/>
              </w:rPr>
              <w:t xml:space="preserve">Conclusiones </w:t>
            </w:r>
          </w:p>
        </w:tc>
        <w:tc>
          <w:tcPr>
            <w:tcW w:w="3274" w:type="dxa"/>
          </w:tcPr>
          <w:p w:rsidR="00DB0475" w:rsidRDefault="00F83B7C" w:rsidP="00DB0475">
            <w:pPr>
              <w:jc w:val="center"/>
              <w:rPr>
                <w:rFonts w:ascii="Times New Roman" w:hAnsi="Times New Roman" w:cs="Times New Roman"/>
                <w:sz w:val="24"/>
                <w:szCs w:val="28"/>
              </w:rPr>
            </w:pPr>
            <w:r>
              <w:rPr>
                <w:rFonts w:ascii="Times New Roman" w:hAnsi="Times New Roman" w:cs="Times New Roman"/>
                <w:sz w:val="24"/>
                <w:szCs w:val="28"/>
              </w:rPr>
              <w:t xml:space="preserve">Se concluye el tema a partir de experiencias y con un fundamento. También se da un agradecimiento. </w:t>
            </w:r>
          </w:p>
        </w:tc>
      </w:tr>
    </w:tbl>
    <w:p w:rsidR="000A6797" w:rsidRDefault="000A6797" w:rsidP="00DB0475">
      <w:pPr>
        <w:spacing w:after="240"/>
        <w:rPr>
          <w:rFonts w:ascii="Times New Roman" w:hAnsi="Times New Roman" w:cs="Times New Roman"/>
          <w:b/>
          <w:bCs/>
          <w:sz w:val="24"/>
          <w:szCs w:val="28"/>
        </w:rPr>
      </w:pPr>
    </w:p>
    <w:p w:rsidR="00810A7E" w:rsidRDefault="00810A7E" w:rsidP="008552AB">
      <w:pPr>
        <w:spacing w:after="240" w:line="360" w:lineRule="auto"/>
        <w:rPr>
          <w:rFonts w:ascii="Times New Roman" w:hAnsi="Times New Roman" w:cs="Times New Roman"/>
          <w:b/>
          <w:bCs/>
          <w:sz w:val="24"/>
          <w:szCs w:val="28"/>
        </w:rPr>
      </w:pPr>
      <w:r>
        <w:rPr>
          <w:rFonts w:ascii="Times New Roman" w:hAnsi="Times New Roman" w:cs="Times New Roman"/>
          <w:b/>
          <w:bCs/>
          <w:sz w:val="24"/>
          <w:szCs w:val="28"/>
        </w:rPr>
        <w:t>Link de video en YouTube</w:t>
      </w:r>
    </w:p>
    <w:p w:rsidR="00DB0475" w:rsidRDefault="00DB0475" w:rsidP="008552AB">
      <w:pPr>
        <w:spacing w:after="240" w:line="360" w:lineRule="auto"/>
        <w:rPr>
          <w:rFonts w:ascii="Times New Roman" w:hAnsi="Times New Roman" w:cs="Times New Roman"/>
          <w:b/>
          <w:bCs/>
          <w:sz w:val="24"/>
          <w:szCs w:val="28"/>
        </w:rPr>
      </w:pPr>
      <w:hyperlink r:id="rId6" w:history="1">
        <w:r w:rsidRPr="000D0E34">
          <w:rPr>
            <w:rStyle w:val="Hipervnculo"/>
            <w:rFonts w:ascii="Times New Roman" w:hAnsi="Times New Roman" w:cs="Times New Roman"/>
            <w:b/>
            <w:bCs/>
            <w:sz w:val="24"/>
            <w:szCs w:val="28"/>
          </w:rPr>
          <w:t>https://youtu.be/WJtxy2vjHjA</w:t>
        </w:r>
      </w:hyperlink>
      <w:r>
        <w:rPr>
          <w:rFonts w:ascii="Times New Roman" w:hAnsi="Times New Roman" w:cs="Times New Roman"/>
          <w:b/>
          <w:bCs/>
          <w:sz w:val="24"/>
          <w:szCs w:val="28"/>
        </w:rPr>
        <w:t xml:space="preserve"> </w:t>
      </w:r>
    </w:p>
    <w:p w:rsidR="00F83B7C" w:rsidRDefault="00F83B7C">
      <w:pPr>
        <w:spacing w:after="160" w:line="259" w:lineRule="auto"/>
        <w:rPr>
          <w:rFonts w:ascii="Times New Roman" w:hAnsi="Times New Roman" w:cs="Times New Roman"/>
          <w:b/>
          <w:bCs/>
          <w:sz w:val="24"/>
          <w:szCs w:val="28"/>
        </w:rPr>
      </w:pPr>
      <w:r>
        <w:rPr>
          <w:rFonts w:ascii="Times New Roman" w:hAnsi="Times New Roman" w:cs="Times New Roman"/>
          <w:b/>
          <w:bCs/>
          <w:sz w:val="24"/>
          <w:szCs w:val="28"/>
        </w:rPr>
        <w:br w:type="page"/>
      </w:r>
    </w:p>
    <w:p w:rsidR="00810A7E" w:rsidRDefault="00810A7E" w:rsidP="008552AB">
      <w:pPr>
        <w:spacing w:after="240" w:line="360" w:lineRule="auto"/>
        <w:rPr>
          <w:rFonts w:ascii="Times New Roman" w:hAnsi="Times New Roman" w:cs="Times New Roman"/>
          <w:b/>
          <w:bCs/>
          <w:sz w:val="24"/>
          <w:szCs w:val="28"/>
        </w:rPr>
      </w:pPr>
      <w:r>
        <w:rPr>
          <w:rFonts w:ascii="Times New Roman" w:hAnsi="Times New Roman" w:cs="Times New Roman"/>
          <w:b/>
          <w:bCs/>
          <w:sz w:val="24"/>
          <w:szCs w:val="28"/>
        </w:rPr>
        <w:lastRenderedPageBreak/>
        <w:t>Referencias bibliográ</w:t>
      </w:r>
      <w:bookmarkStart w:id="0" w:name="_GoBack"/>
      <w:bookmarkEnd w:id="0"/>
      <w:r>
        <w:rPr>
          <w:rFonts w:ascii="Times New Roman" w:hAnsi="Times New Roman" w:cs="Times New Roman"/>
          <w:b/>
          <w:bCs/>
          <w:sz w:val="24"/>
          <w:szCs w:val="28"/>
        </w:rPr>
        <w:t xml:space="preserve">ficas </w:t>
      </w:r>
    </w:p>
    <w:p w:rsidR="00810A7E" w:rsidRDefault="00810A7E" w:rsidP="00810A7E">
      <w:pPr>
        <w:spacing w:after="240" w:line="360" w:lineRule="auto"/>
        <w:ind w:left="709" w:hanging="709"/>
        <w:rPr>
          <w:rFonts w:ascii="Times New Roman" w:hAnsi="Times New Roman" w:cs="Times New Roman"/>
          <w:sz w:val="24"/>
        </w:rPr>
      </w:pPr>
      <w:r>
        <w:rPr>
          <w:rFonts w:ascii="Times New Roman" w:hAnsi="Times New Roman" w:cs="Times New Roman"/>
          <w:sz w:val="24"/>
        </w:rPr>
        <w:t xml:space="preserve">Catedra Kreanta. (1 de octubre de 2019). </w:t>
      </w:r>
      <w:r>
        <w:rPr>
          <w:rFonts w:ascii="Times New Roman" w:hAnsi="Times New Roman" w:cs="Times New Roman"/>
          <w:i/>
          <w:iCs/>
          <w:sz w:val="24"/>
        </w:rPr>
        <w:t xml:space="preserve">EL VALOR DE LA EDUCACIÓN: AYER, HOY Y MAÑANA. Conferencia de Joan Manuel del Pozo. </w:t>
      </w:r>
      <w:r>
        <w:rPr>
          <w:rFonts w:ascii="Times New Roman" w:hAnsi="Times New Roman" w:cs="Times New Roman"/>
          <w:sz w:val="24"/>
        </w:rPr>
        <w:t xml:space="preserve">(Video YouTube). YouTube. </w:t>
      </w:r>
      <w:hyperlink r:id="rId7" w:history="1">
        <w:r w:rsidRPr="00F14A76">
          <w:rPr>
            <w:rStyle w:val="Hipervnculo"/>
            <w:rFonts w:ascii="Times New Roman" w:hAnsi="Times New Roman" w:cs="Times New Roman"/>
            <w:sz w:val="24"/>
          </w:rPr>
          <w:t>https://www.youtube.com/watch?v=oBxcVWrU-w8&amp;t=468s</w:t>
        </w:r>
      </w:hyperlink>
      <w:r>
        <w:rPr>
          <w:rFonts w:ascii="Times New Roman" w:hAnsi="Times New Roman" w:cs="Times New Roman"/>
          <w:sz w:val="24"/>
        </w:rPr>
        <w:t xml:space="preserve"> </w:t>
      </w:r>
    </w:p>
    <w:p w:rsidR="00810A7E" w:rsidRDefault="00810A7E" w:rsidP="00810A7E">
      <w:pPr>
        <w:spacing w:after="240" w:line="360" w:lineRule="auto"/>
        <w:ind w:left="720" w:hanging="720"/>
        <w:rPr>
          <w:rFonts w:ascii="Times New Roman" w:hAnsi="Times New Roman" w:cs="Times New Roman"/>
          <w:sz w:val="24"/>
        </w:rPr>
      </w:pPr>
      <w:r>
        <w:rPr>
          <w:rFonts w:ascii="Times New Roman" w:hAnsi="Times New Roman" w:cs="Times New Roman"/>
          <w:sz w:val="24"/>
        </w:rPr>
        <w:t xml:space="preserve">Constitución política de los Estados Unidos Mexicanos (Const.). Artículo 3. 15 de mayo de 2019 (México). </w:t>
      </w:r>
    </w:p>
    <w:p w:rsidR="00810A7E" w:rsidRDefault="00810A7E" w:rsidP="00810A7E">
      <w:pPr>
        <w:spacing w:after="240" w:line="360" w:lineRule="auto"/>
        <w:ind w:left="720" w:hanging="720"/>
        <w:rPr>
          <w:rFonts w:ascii="Times New Roman" w:hAnsi="Times New Roman" w:cs="Times New Roman"/>
          <w:sz w:val="24"/>
        </w:rPr>
      </w:pPr>
      <w:r>
        <w:rPr>
          <w:rFonts w:ascii="Times New Roman" w:hAnsi="Times New Roman" w:cs="Times New Roman"/>
          <w:sz w:val="24"/>
        </w:rPr>
        <w:t xml:space="preserve">Dewey, J. (1916). </w:t>
      </w:r>
      <w:r w:rsidRPr="00684ADC">
        <w:rPr>
          <w:rFonts w:ascii="Times New Roman" w:hAnsi="Times New Roman" w:cs="Times New Roman"/>
          <w:i/>
          <w:iCs/>
          <w:sz w:val="24"/>
        </w:rPr>
        <w:t xml:space="preserve">Democracia y educación. Una introducción a la filosofía de la educación. </w:t>
      </w:r>
      <w:r>
        <w:rPr>
          <w:rFonts w:ascii="Times New Roman" w:hAnsi="Times New Roman" w:cs="Times New Roman"/>
          <w:sz w:val="24"/>
        </w:rPr>
        <w:t xml:space="preserve">Ediciones Morata, S. L. </w:t>
      </w:r>
    </w:p>
    <w:p w:rsidR="00810A7E" w:rsidRDefault="00810A7E" w:rsidP="00810A7E">
      <w:pPr>
        <w:pStyle w:val="Default"/>
        <w:spacing w:after="240" w:line="360" w:lineRule="auto"/>
        <w:ind w:left="720" w:hanging="720"/>
        <w:rPr>
          <w:rFonts w:ascii="Times New Roman" w:hAnsi="Times New Roman" w:cs="Times New Roman"/>
        </w:rPr>
      </w:pPr>
      <w:r>
        <w:rPr>
          <w:rFonts w:ascii="Times New Roman" w:hAnsi="Times New Roman" w:cs="Times New Roman"/>
        </w:rPr>
        <w:t>Ley general de educación de 2019. S</w:t>
      </w:r>
      <w:r w:rsidRPr="002C04A2">
        <w:rPr>
          <w:rFonts w:ascii="Times New Roman" w:hAnsi="Times New Roman" w:cs="Times New Roman"/>
        </w:rPr>
        <w:t>e expide la ley general de educación y se abroga la ley general de la infraestructura física educativa.</w:t>
      </w:r>
      <w:r>
        <w:rPr>
          <w:rFonts w:ascii="Times New Roman" w:hAnsi="Times New Roman" w:cs="Times New Roman"/>
        </w:rPr>
        <w:t xml:space="preserve"> 30 de septiembre de 2019.</w:t>
      </w:r>
    </w:p>
    <w:p w:rsidR="00810A7E" w:rsidRPr="00C22E09" w:rsidRDefault="00810A7E" w:rsidP="00810A7E">
      <w:pPr>
        <w:spacing w:after="240" w:line="360" w:lineRule="auto"/>
        <w:ind w:left="709" w:hanging="709"/>
        <w:rPr>
          <w:rFonts w:ascii="Times New Roman" w:hAnsi="Times New Roman" w:cs="Times New Roman"/>
          <w:sz w:val="24"/>
        </w:rPr>
      </w:pPr>
      <w:r w:rsidRPr="00C22E09">
        <w:rPr>
          <w:rFonts w:ascii="Times New Roman" w:hAnsi="Times New Roman" w:cs="Times New Roman"/>
          <w:color w:val="000000"/>
          <w:sz w:val="24"/>
        </w:rPr>
        <w:t xml:space="preserve">Secretaría de Educación Pública. (2017). </w:t>
      </w:r>
      <w:r w:rsidRPr="00C22E09">
        <w:rPr>
          <w:rFonts w:ascii="Times New Roman" w:hAnsi="Times New Roman" w:cs="Times New Roman"/>
          <w:i/>
          <w:iCs/>
          <w:color w:val="000000"/>
          <w:sz w:val="24"/>
        </w:rPr>
        <w:t>Plan y programas de estudio de la educación básica. Aprendizajes Clave para la educación integral.</w:t>
      </w:r>
      <w:r w:rsidRPr="00C22E09">
        <w:rPr>
          <w:rFonts w:ascii="Times New Roman" w:hAnsi="Times New Roman" w:cs="Times New Roman"/>
          <w:color w:val="000000"/>
          <w:sz w:val="24"/>
        </w:rPr>
        <w:t xml:space="preserve"> México: SEP.</w:t>
      </w:r>
    </w:p>
    <w:p w:rsidR="00810A7E" w:rsidRPr="00100703" w:rsidRDefault="00100703" w:rsidP="00100703">
      <w:pPr>
        <w:spacing w:after="160" w:line="360" w:lineRule="auto"/>
        <w:ind w:left="709" w:hanging="709"/>
        <w:rPr>
          <w:rFonts w:ascii="Times New Roman" w:hAnsi="Times New Roman" w:cs="Times New Roman"/>
          <w:sz w:val="24"/>
        </w:rPr>
      </w:pPr>
      <w:r w:rsidRPr="00100703">
        <w:rPr>
          <w:rFonts w:ascii="Times New Roman" w:hAnsi="Times New Roman" w:cs="Times New Roman"/>
          <w:sz w:val="24"/>
        </w:rPr>
        <w:t xml:space="preserve">Pedagogía Contigo. (2 de octubre de 2019). </w:t>
      </w:r>
      <w:r w:rsidRPr="00100703">
        <w:rPr>
          <w:rFonts w:ascii="Times New Roman" w:hAnsi="Times New Roman" w:cs="Times New Roman"/>
          <w:i/>
          <w:iCs/>
          <w:sz w:val="24"/>
        </w:rPr>
        <w:t xml:space="preserve">MENSAJE Secretario de Educación </w:t>
      </w:r>
      <w:r w:rsidRPr="00100703">
        <w:rPr>
          <w:rFonts w:ascii="Times New Roman" w:hAnsi="Times New Roman" w:cs="Times New Roman"/>
          <w:i/>
          <w:iCs/>
          <w:sz w:val="24"/>
        </w:rPr>
        <w:t>Pública</w:t>
      </w:r>
      <w:r w:rsidRPr="00100703">
        <w:rPr>
          <w:rFonts w:ascii="Times New Roman" w:hAnsi="Times New Roman" w:cs="Times New Roman"/>
          <w:i/>
          <w:iCs/>
          <w:sz w:val="24"/>
        </w:rPr>
        <w:t xml:space="preserve"> PRIMERA SESIÓN Consejo Técnico Escolar.</w:t>
      </w:r>
      <w:r w:rsidRPr="00100703">
        <w:rPr>
          <w:rFonts w:ascii="Times New Roman" w:hAnsi="Times New Roman" w:cs="Times New Roman"/>
          <w:sz w:val="24"/>
        </w:rPr>
        <w:t xml:space="preserve"> (Video YouTube). YouTube. </w:t>
      </w:r>
      <w:hyperlink r:id="rId8" w:history="1">
        <w:r w:rsidRPr="00100703">
          <w:rPr>
            <w:rStyle w:val="Hipervnculo"/>
            <w:rFonts w:ascii="Times New Roman" w:hAnsi="Times New Roman" w:cs="Times New Roman"/>
            <w:sz w:val="24"/>
          </w:rPr>
          <w:t>https://www.youtube.com/watch?v=7MMlaQ_ESbM</w:t>
        </w:r>
      </w:hyperlink>
      <w:r w:rsidRPr="00100703">
        <w:rPr>
          <w:rFonts w:ascii="Times New Roman" w:hAnsi="Times New Roman" w:cs="Times New Roman"/>
          <w:sz w:val="24"/>
        </w:rPr>
        <w:t xml:space="preserve"> </w:t>
      </w:r>
    </w:p>
    <w:p w:rsidR="007C3FF7" w:rsidRDefault="007C3FF7" w:rsidP="008552AB">
      <w:pPr>
        <w:spacing w:after="240" w:line="360" w:lineRule="auto"/>
        <w:rPr>
          <w:rFonts w:ascii="Times New Roman" w:hAnsi="Times New Roman" w:cs="Times New Roman"/>
          <w:b/>
          <w:bCs/>
          <w:sz w:val="24"/>
          <w:szCs w:val="28"/>
        </w:rPr>
        <w:sectPr w:rsidR="007C3FF7">
          <w:pgSz w:w="11906" w:h="16838"/>
          <w:pgMar w:top="1417" w:right="1701" w:bottom="1417" w:left="1701" w:header="708" w:footer="708" w:gutter="0"/>
          <w:cols w:space="708"/>
          <w:docGrid w:linePitch="360"/>
        </w:sectPr>
      </w:pPr>
    </w:p>
    <w:p w:rsidR="007C3FF7" w:rsidRPr="00D06BC5" w:rsidRDefault="007C3FF7" w:rsidP="007C3FF7">
      <w:pPr>
        <w:jc w:val="both"/>
        <w:rPr>
          <w:rFonts w:ascii="Calibri" w:hAnsi="Calibri" w:cs="Calibri"/>
          <w:b/>
          <w:sz w:val="20"/>
          <w:szCs w:val="20"/>
        </w:rPr>
      </w:pPr>
      <w:r w:rsidRPr="00D06BC5">
        <w:rPr>
          <w:rFonts w:ascii="Calibri" w:hAnsi="Calibri" w:cs="Calibri"/>
          <w:b/>
          <w:sz w:val="20"/>
          <w:szCs w:val="20"/>
        </w:rPr>
        <w:lastRenderedPageBreak/>
        <w:t>Rúbrica para evaluar video documental.</w:t>
      </w:r>
    </w:p>
    <w:p w:rsidR="007C3FF7" w:rsidRDefault="007C3FF7" w:rsidP="007C3FF7">
      <w:pPr>
        <w:jc w:val="both"/>
        <w:rPr>
          <w:rFonts w:ascii="Calibri" w:hAnsi="Calibri" w:cs="Calibri"/>
          <w:b/>
          <w:sz w:val="20"/>
          <w:szCs w:val="20"/>
        </w:rPr>
      </w:pPr>
    </w:p>
    <w:p w:rsidR="007C3FF7" w:rsidRDefault="007C3FF7" w:rsidP="007C3FF7">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rsidR="007C3FF7" w:rsidRDefault="007C3FF7" w:rsidP="007C3FF7">
      <w:pPr>
        <w:jc w:val="both"/>
        <w:rPr>
          <w:rFonts w:ascii="Calibri" w:hAnsi="Calibri" w:cs="Calibri"/>
          <w:b/>
          <w:sz w:val="20"/>
          <w:szCs w:val="20"/>
        </w:rPr>
      </w:pPr>
    </w:p>
    <w:p w:rsidR="007C3FF7" w:rsidRPr="00DB016A" w:rsidRDefault="007C3FF7" w:rsidP="007C3FF7">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rsidR="007C3FF7" w:rsidRDefault="007C3FF7" w:rsidP="007C3FF7">
      <w:pPr>
        <w:jc w:val="both"/>
        <w:rPr>
          <w:rFonts w:ascii="Calibri" w:hAnsi="Calibri" w:cs="Calibri"/>
          <w:b/>
          <w:sz w:val="20"/>
          <w:szCs w:val="20"/>
        </w:rPr>
      </w:pPr>
    </w:p>
    <w:p w:rsidR="007C3FF7" w:rsidRPr="00D06BC5" w:rsidRDefault="007C3FF7" w:rsidP="007C3FF7">
      <w:pPr>
        <w:jc w:val="both"/>
        <w:rPr>
          <w:rFonts w:ascii="Calibri" w:hAnsi="Calibri" w:cs="Calibri"/>
          <w:b/>
          <w:sz w:val="20"/>
          <w:szCs w:val="20"/>
        </w:rPr>
      </w:pPr>
      <w:r w:rsidRPr="00A9043C">
        <w:rPr>
          <w:rFonts w:ascii="Calibri" w:hAnsi="Calibri" w:cs="Calibri"/>
          <w:b/>
          <w:sz w:val="20"/>
          <w:szCs w:val="20"/>
        </w:rPr>
        <w:t>Notas básicas.</w:t>
      </w:r>
    </w:p>
    <w:p w:rsidR="007C3FF7" w:rsidRPr="00D06BC5" w:rsidRDefault="007C3FF7" w:rsidP="007C3FF7">
      <w:pPr>
        <w:numPr>
          <w:ilvl w:val="0"/>
          <w:numId w:val="3"/>
        </w:numPr>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rsidR="007C3FF7" w:rsidRPr="00D06BC5" w:rsidRDefault="007C3FF7" w:rsidP="007C3FF7">
      <w:pPr>
        <w:numPr>
          <w:ilvl w:val="0"/>
          <w:numId w:val="3"/>
        </w:numPr>
        <w:jc w:val="both"/>
        <w:rPr>
          <w:rFonts w:ascii="Calibri" w:hAnsi="Calibri" w:cs="Calibri"/>
          <w:bCs/>
          <w:sz w:val="20"/>
          <w:szCs w:val="20"/>
        </w:rPr>
      </w:pPr>
      <w:r w:rsidRPr="00D06BC5">
        <w:rPr>
          <w:rFonts w:ascii="Calibri" w:hAnsi="Calibri" w:cs="Calibri"/>
          <w:bCs/>
          <w:sz w:val="20"/>
          <w:szCs w:val="20"/>
        </w:rPr>
        <w:t>El video será subido a la plataforma de YouTube.</w:t>
      </w:r>
    </w:p>
    <w:p w:rsidR="007C3FF7" w:rsidRPr="00D06BC5" w:rsidRDefault="007C3FF7" w:rsidP="007C3FF7">
      <w:pPr>
        <w:numPr>
          <w:ilvl w:val="0"/>
          <w:numId w:val="3"/>
        </w:numPr>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rsidR="007C3FF7" w:rsidRPr="00D06BC5" w:rsidRDefault="007C3FF7" w:rsidP="007C3FF7">
      <w:pPr>
        <w:numPr>
          <w:ilvl w:val="0"/>
          <w:numId w:val="2"/>
        </w:numPr>
        <w:jc w:val="both"/>
        <w:rPr>
          <w:rFonts w:ascii="Calibri" w:hAnsi="Calibri" w:cs="Calibri"/>
          <w:bCs/>
          <w:sz w:val="20"/>
          <w:szCs w:val="20"/>
        </w:rPr>
      </w:pPr>
      <w:r w:rsidRPr="00D06BC5">
        <w:rPr>
          <w:rFonts w:ascii="Calibri" w:hAnsi="Calibri" w:cs="Calibri"/>
          <w:bCs/>
          <w:sz w:val="20"/>
          <w:szCs w:val="20"/>
        </w:rPr>
        <w:t xml:space="preserve">Identifica un tema </w:t>
      </w:r>
      <w:proofErr w:type="spellStart"/>
      <w:r w:rsidRPr="00D06BC5">
        <w:rPr>
          <w:rFonts w:ascii="Calibri" w:hAnsi="Calibri" w:cs="Calibri"/>
          <w:bCs/>
          <w:sz w:val="20"/>
          <w:szCs w:val="20"/>
        </w:rPr>
        <w:t>especifico</w:t>
      </w:r>
      <w:proofErr w:type="spellEnd"/>
      <w:r w:rsidRPr="00D06BC5">
        <w:rPr>
          <w:rFonts w:ascii="Calibri" w:hAnsi="Calibri" w:cs="Calibri"/>
          <w:bCs/>
          <w:sz w:val="20"/>
          <w:szCs w:val="20"/>
        </w:rPr>
        <w:t xml:space="preserve"> e integra la información investigando en distintas fuentes: bibliográficas, hemerográficas, documentos oficiales y empíricas.</w:t>
      </w:r>
    </w:p>
    <w:p w:rsidR="007C3FF7" w:rsidRPr="00D06BC5" w:rsidRDefault="007C3FF7" w:rsidP="007C3FF7">
      <w:pPr>
        <w:numPr>
          <w:ilvl w:val="0"/>
          <w:numId w:val="2"/>
        </w:numPr>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rsidR="007C3FF7" w:rsidRPr="00D06BC5" w:rsidRDefault="007C3FF7" w:rsidP="007C3FF7">
      <w:pPr>
        <w:numPr>
          <w:ilvl w:val="0"/>
          <w:numId w:val="2"/>
        </w:numPr>
        <w:jc w:val="both"/>
        <w:rPr>
          <w:rFonts w:ascii="Calibri" w:hAnsi="Calibri" w:cs="Calibri"/>
          <w:bCs/>
          <w:sz w:val="20"/>
          <w:szCs w:val="20"/>
        </w:rPr>
      </w:pPr>
      <w:r w:rsidRPr="00D06BC5">
        <w:rPr>
          <w:rFonts w:ascii="Calibri" w:hAnsi="Calibri" w:cs="Calibri"/>
          <w:bCs/>
          <w:sz w:val="20"/>
          <w:szCs w:val="20"/>
        </w:rPr>
        <w:t xml:space="preserve">Establece la lógica argumentativa con base en preguntas </w:t>
      </w:r>
      <w:proofErr w:type="spellStart"/>
      <w:r w:rsidRPr="00D06BC5">
        <w:rPr>
          <w:rFonts w:ascii="Calibri" w:hAnsi="Calibri" w:cs="Calibri"/>
          <w:bCs/>
          <w:sz w:val="20"/>
          <w:szCs w:val="20"/>
        </w:rPr>
        <w:t>especificas</w:t>
      </w:r>
      <w:proofErr w:type="spellEnd"/>
      <w:r w:rsidRPr="00D06BC5">
        <w:rPr>
          <w:rFonts w:ascii="Calibri" w:hAnsi="Calibri" w:cs="Calibri"/>
          <w:bCs/>
          <w:sz w:val="20"/>
          <w:szCs w:val="20"/>
        </w:rPr>
        <w:t xml:space="preserve"> que orientan la organización de la información.</w:t>
      </w:r>
    </w:p>
    <w:p w:rsidR="007C3FF7" w:rsidRPr="00D06BC5" w:rsidRDefault="007C3FF7" w:rsidP="007C3FF7">
      <w:pPr>
        <w:numPr>
          <w:ilvl w:val="0"/>
          <w:numId w:val="2"/>
        </w:numPr>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rsidR="007C3FF7" w:rsidRPr="00D06BC5" w:rsidRDefault="007C3FF7" w:rsidP="007C3FF7">
      <w:pPr>
        <w:numPr>
          <w:ilvl w:val="0"/>
          <w:numId w:val="3"/>
        </w:numPr>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rsidR="007C3FF7" w:rsidRPr="00D06BC5" w:rsidRDefault="007C3FF7" w:rsidP="007C3FF7">
      <w:pPr>
        <w:numPr>
          <w:ilvl w:val="0"/>
          <w:numId w:val="3"/>
        </w:numPr>
        <w:jc w:val="both"/>
        <w:rPr>
          <w:rFonts w:ascii="Calibri" w:hAnsi="Calibri" w:cs="Calibri"/>
          <w:bCs/>
          <w:sz w:val="20"/>
          <w:szCs w:val="20"/>
        </w:rPr>
      </w:pPr>
      <w:r w:rsidRPr="00D06BC5">
        <w:rPr>
          <w:rFonts w:ascii="Calibri" w:hAnsi="Calibri" w:cs="Calibri"/>
          <w:bCs/>
          <w:sz w:val="20"/>
          <w:szCs w:val="20"/>
        </w:rPr>
        <w:t xml:space="preserve">El plagio en el guion o en </w:t>
      </w:r>
      <w:proofErr w:type="spellStart"/>
      <w:r w:rsidRPr="00D06BC5">
        <w:rPr>
          <w:rFonts w:ascii="Calibri" w:hAnsi="Calibri" w:cs="Calibri"/>
          <w:bCs/>
          <w:sz w:val="20"/>
          <w:szCs w:val="20"/>
        </w:rPr>
        <w:t>le</w:t>
      </w:r>
      <w:proofErr w:type="spellEnd"/>
      <w:r w:rsidRPr="00D06BC5">
        <w:rPr>
          <w:rFonts w:ascii="Calibri" w:hAnsi="Calibri" w:cs="Calibri"/>
          <w:bCs/>
          <w:sz w:val="20"/>
          <w:szCs w:val="20"/>
        </w:rPr>
        <w:t xml:space="preserve"> video invalida la actividad. (Cuidar secrecía del trabajo a entregar)</w:t>
      </w:r>
    </w:p>
    <w:p w:rsidR="007C3FF7" w:rsidRPr="00D06BC5" w:rsidRDefault="007C3FF7" w:rsidP="007C3FF7">
      <w:pPr>
        <w:jc w:val="both"/>
        <w:rPr>
          <w:rFonts w:ascii="Calibri" w:hAnsi="Calibri" w:cs="Calibri"/>
          <w:bCs/>
          <w:sz w:val="16"/>
          <w:szCs w:val="16"/>
        </w:rPr>
      </w:pPr>
    </w:p>
    <w:p w:rsidR="007C3FF7" w:rsidRPr="00D06BC5" w:rsidRDefault="007C3FF7" w:rsidP="007C3FF7">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7C3FF7" w:rsidRPr="00D06BC5" w:rsidTr="00AC414F">
        <w:trPr>
          <w:trHeight w:val="345"/>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Criterios</w:t>
            </w:r>
          </w:p>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Descriptores.</w:t>
            </w:r>
          </w:p>
        </w:tc>
        <w:tc>
          <w:tcPr>
            <w:tcW w:w="1695" w:type="dxa"/>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10</w:t>
            </w:r>
          </w:p>
        </w:tc>
        <w:tc>
          <w:tcPr>
            <w:tcW w:w="1705" w:type="dxa"/>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9</w:t>
            </w:r>
          </w:p>
        </w:tc>
        <w:tc>
          <w:tcPr>
            <w:tcW w:w="1743" w:type="dxa"/>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8</w:t>
            </w:r>
          </w:p>
        </w:tc>
        <w:tc>
          <w:tcPr>
            <w:tcW w:w="1589" w:type="dxa"/>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7</w:t>
            </w:r>
          </w:p>
        </w:tc>
        <w:tc>
          <w:tcPr>
            <w:tcW w:w="1559" w:type="dxa"/>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5</w:t>
            </w:r>
          </w:p>
        </w:tc>
      </w:tr>
      <w:tr w:rsidR="007C3FF7" w:rsidRPr="00D06BC5" w:rsidTr="00AC414F">
        <w:trPr>
          <w:trHeight w:val="120"/>
        </w:trPr>
        <w:tc>
          <w:tcPr>
            <w:tcW w:w="1456"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705" w:type="dxa"/>
          </w:tcPr>
          <w:p w:rsidR="007C3FF7" w:rsidRPr="00D06BC5" w:rsidRDefault="007C3FF7" w:rsidP="00AC414F">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743" w:type="dxa"/>
          </w:tcPr>
          <w:p w:rsidR="007C3FF7" w:rsidRPr="00D06BC5" w:rsidRDefault="007C3FF7" w:rsidP="00AC414F">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rsidR="007C3FF7" w:rsidRPr="00D06BC5" w:rsidRDefault="007C3FF7" w:rsidP="00AC414F">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rsidR="007C3FF7" w:rsidRPr="00D06BC5" w:rsidRDefault="007C3FF7" w:rsidP="00AC414F">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7C3FF7" w:rsidRPr="00D06BC5" w:rsidTr="00AC414F">
        <w:trPr>
          <w:trHeight w:val="91"/>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Información.</w:t>
            </w:r>
          </w:p>
        </w:tc>
        <w:tc>
          <w:tcPr>
            <w:tcW w:w="1695" w:type="dxa"/>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 xml:space="preserve">Muestra información relevante y de contexto al tiempo que hace uso de los referentes conceptuales y normativos para </w:t>
            </w:r>
            <w:r w:rsidRPr="00D06BC5">
              <w:rPr>
                <w:rFonts w:ascii="Calibri" w:hAnsi="Calibri" w:cs="Calibri"/>
                <w:bCs/>
                <w:sz w:val="16"/>
                <w:szCs w:val="16"/>
              </w:rPr>
              <w:lastRenderedPageBreak/>
              <w:t>exponer sus principales reflexiones, además recurre a información documental y empírica para sustentar sus ideas</w:t>
            </w:r>
          </w:p>
        </w:tc>
        <w:tc>
          <w:tcPr>
            <w:tcW w:w="1705" w:type="dxa"/>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lastRenderedPageBreak/>
              <w:t xml:space="preserve">Muestra información relevante y de contexto al tiempo que hace uso de los referentes conceptuales y normativos para </w:t>
            </w:r>
            <w:r w:rsidRPr="00707364">
              <w:rPr>
                <w:rFonts w:ascii="Calibri" w:hAnsi="Calibri" w:cs="Calibri"/>
                <w:bCs/>
                <w:sz w:val="16"/>
                <w:szCs w:val="16"/>
              </w:rPr>
              <w:lastRenderedPageBreak/>
              <w:t>exponer sus principales reflexiones, además recurre a poca información documental y empírica para sustentar sus ideas</w:t>
            </w:r>
          </w:p>
        </w:tc>
        <w:tc>
          <w:tcPr>
            <w:tcW w:w="1743" w:type="dxa"/>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lastRenderedPageBreak/>
              <w:t xml:space="preserve">Muestra información poco relevante y de contexto al tiempo que hace uso de los referentes conceptuales y normativos para </w:t>
            </w:r>
            <w:r w:rsidRPr="00707364">
              <w:rPr>
                <w:rFonts w:ascii="Calibri" w:hAnsi="Calibri" w:cs="Calibri"/>
                <w:bCs/>
                <w:sz w:val="16"/>
                <w:szCs w:val="16"/>
              </w:rPr>
              <w:lastRenderedPageBreak/>
              <w:t>exponer sus principales reflexiones, además recurre a poca información documental y empírica para sustentar sus ideas</w:t>
            </w:r>
          </w:p>
        </w:tc>
        <w:tc>
          <w:tcPr>
            <w:tcW w:w="1589" w:type="dxa"/>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lastRenderedPageBreak/>
              <w:t xml:space="preserve">Muestra información poco relevante y de contexto al tiempo que hace uso de los referentes conceptuales y normativos para </w:t>
            </w:r>
            <w:r w:rsidRPr="00707364">
              <w:rPr>
                <w:rFonts w:ascii="Calibri" w:hAnsi="Calibri" w:cs="Calibri"/>
                <w:bCs/>
                <w:sz w:val="16"/>
                <w:szCs w:val="16"/>
              </w:rPr>
              <w:lastRenderedPageBreak/>
              <w:t>exponer sus principales reflexiones, además recurre a información documental para sustentar sus ideas</w:t>
            </w:r>
          </w:p>
        </w:tc>
        <w:tc>
          <w:tcPr>
            <w:tcW w:w="1559" w:type="dxa"/>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lastRenderedPageBreak/>
              <w:t xml:space="preserve">Muestra información poco relevante y de contexto al tiempo que hace uso inadecuado de los referentes </w:t>
            </w:r>
            <w:r w:rsidRPr="00707364">
              <w:rPr>
                <w:rFonts w:ascii="Calibri" w:hAnsi="Calibri" w:cs="Calibri"/>
                <w:bCs/>
                <w:sz w:val="16"/>
                <w:szCs w:val="16"/>
              </w:rPr>
              <w:lastRenderedPageBreak/>
              <w:t xml:space="preserve">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lastRenderedPageBreak/>
              <w:t xml:space="preserve">La información no es relevante, no hace uso de referentes conceptuales y normativos además de que no </w:t>
            </w:r>
            <w:r w:rsidRPr="00D06BC5">
              <w:rPr>
                <w:rFonts w:ascii="Calibri" w:hAnsi="Calibri" w:cs="Calibri"/>
                <w:bCs/>
                <w:sz w:val="16"/>
                <w:szCs w:val="16"/>
              </w:rPr>
              <w:lastRenderedPageBreak/>
              <w:t>recurre a información documental y empírica.</w:t>
            </w:r>
          </w:p>
        </w:tc>
      </w:tr>
      <w:tr w:rsidR="007C3FF7" w:rsidRPr="00D06BC5" w:rsidTr="00AC414F">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lastRenderedPageBreak/>
              <w:t>Calidad de las imágenes</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7C3FF7" w:rsidRPr="00D06BC5" w:rsidTr="00AC414F">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Efectos y transiciones</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7C3FF7" w:rsidRPr="00D06BC5" w:rsidTr="00AC414F">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No es original.  Video copiado.</w:t>
            </w:r>
          </w:p>
        </w:tc>
      </w:tr>
      <w:tr w:rsidR="007C3FF7" w:rsidRPr="00D06BC5" w:rsidTr="00AC414F">
        <w:trPr>
          <w:trHeight w:val="1167"/>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7C3FF7" w:rsidRPr="00D06BC5" w:rsidTr="00AC414F">
        <w:trPr>
          <w:trHeight w:val="195"/>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7C3FF7" w:rsidRPr="00D06BC5" w:rsidTr="00AC414F">
        <w:trPr>
          <w:trHeight w:val="1104"/>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Tiempo del video.</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video dura menos de 5 minutos.</w:t>
            </w:r>
          </w:p>
        </w:tc>
      </w:tr>
      <w:tr w:rsidR="007C3FF7" w:rsidRPr="00D06BC5" w:rsidTr="00AC414F">
        <w:trPr>
          <w:trHeight w:val="70"/>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lastRenderedPageBreak/>
              <w:t>Puesta en escena</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No se realiza la tarea.</w:t>
            </w:r>
          </w:p>
        </w:tc>
      </w:tr>
      <w:tr w:rsidR="007C3FF7" w:rsidRPr="00D06BC5" w:rsidTr="00AC414F">
        <w:trPr>
          <w:trHeight w:val="182"/>
        </w:trPr>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7C3FF7" w:rsidRPr="00D06BC5" w:rsidTr="00AC414F">
        <w:tc>
          <w:tcPr>
            <w:tcW w:w="1456" w:type="dxa"/>
            <w:shd w:val="clear" w:color="auto" w:fill="auto"/>
          </w:tcPr>
          <w:p w:rsidR="007C3FF7" w:rsidRPr="00D06BC5" w:rsidRDefault="007C3FF7" w:rsidP="00AC414F">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rsidR="007C3FF7" w:rsidRPr="00D06BC5" w:rsidRDefault="007C3FF7" w:rsidP="00AC414F">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rsidR="007C3FF7" w:rsidRPr="00D06BC5" w:rsidRDefault="007C3FF7" w:rsidP="007C3FF7">
      <w:pPr>
        <w:jc w:val="both"/>
        <w:rPr>
          <w:rFonts w:ascii="Calibri" w:hAnsi="Calibri" w:cs="Calibri"/>
          <w:bCs/>
          <w:sz w:val="16"/>
          <w:szCs w:val="16"/>
        </w:rPr>
      </w:pPr>
    </w:p>
    <w:p w:rsidR="008552AB" w:rsidRPr="008552AB" w:rsidRDefault="008552AB" w:rsidP="008552AB">
      <w:pPr>
        <w:spacing w:after="240" w:line="360" w:lineRule="auto"/>
        <w:rPr>
          <w:rFonts w:ascii="Times New Roman" w:hAnsi="Times New Roman" w:cs="Times New Roman"/>
          <w:b/>
          <w:bCs/>
          <w:sz w:val="24"/>
          <w:szCs w:val="28"/>
        </w:rPr>
      </w:pPr>
    </w:p>
    <w:p w:rsidR="008552AB" w:rsidRPr="008552AB" w:rsidRDefault="008552AB" w:rsidP="008552AB">
      <w:pPr>
        <w:spacing w:after="240" w:line="360" w:lineRule="auto"/>
        <w:jc w:val="center"/>
        <w:rPr>
          <w:rFonts w:ascii="Times New Roman" w:hAnsi="Times New Roman" w:cs="Times New Roman"/>
          <w:sz w:val="24"/>
          <w:szCs w:val="28"/>
        </w:rPr>
      </w:pPr>
    </w:p>
    <w:sectPr w:rsidR="008552AB" w:rsidRPr="008552AB" w:rsidSect="007C3FF7">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DE5"/>
    <w:multiLevelType w:val="hybridMultilevel"/>
    <w:tmpl w:val="CDE68EAA"/>
    <w:lvl w:ilvl="0" w:tplc="6576D592">
      <w:start w:val="1"/>
      <w:numFmt w:val="bullet"/>
      <w:lvlText w:val=""/>
      <w:lvlJc w:val="left"/>
      <w:pPr>
        <w:ind w:left="66" w:hanging="360"/>
      </w:pPr>
      <w:rPr>
        <w:rFonts w:ascii="Symbol" w:eastAsia="Times New Roman" w:hAnsi="Symbol" w:cs="Calibri" w:hint="default"/>
      </w:rPr>
    </w:lvl>
    <w:lvl w:ilvl="1" w:tplc="080A0003" w:tentative="1">
      <w:start w:val="1"/>
      <w:numFmt w:val="bullet"/>
      <w:lvlText w:val="o"/>
      <w:lvlJc w:val="left"/>
      <w:pPr>
        <w:ind w:left="786" w:hanging="360"/>
      </w:pPr>
      <w:rPr>
        <w:rFonts w:ascii="Courier New" w:hAnsi="Courier New" w:cs="Courier New" w:hint="default"/>
      </w:rPr>
    </w:lvl>
    <w:lvl w:ilvl="2" w:tplc="080A0005" w:tentative="1">
      <w:start w:val="1"/>
      <w:numFmt w:val="bullet"/>
      <w:lvlText w:val=""/>
      <w:lvlJc w:val="left"/>
      <w:pPr>
        <w:ind w:left="1506" w:hanging="360"/>
      </w:pPr>
      <w:rPr>
        <w:rFonts w:ascii="Wingdings" w:hAnsi="Wingdings" w:hint="default"/>
      </w:rPr>
    </w:lvl>
    <w:lvl w:ilvl="3" w:tplc="080A0001" w:tentative="1">
      <w:start w:val="1"/>
      <w:numFmt w:val="bullet"/>
      <w:lvlText w:val=""/>
      <w:lvlJc w:val="left"/>
      <w:pPr>
        <w:ind w:left="2226" w:hanging="360"/>
      </w:pPr>
      <w:rPr>
        <w:rFonts w:ascii="Symbol" w:hAnsi="Symbol" w:hint="default"/>
      </w:rPr>
    </w:lvl>
    <w:lvl w:ilvl="4" w:tplc="080A0003" w:tentative="1">
      <w:start w:val="1"/>
      <w:numFmt w:val="bullet"/>
      <w:lvlText w:val="o"/>
      <w:lvlJc w:val="left"/>
      <w:pPr>
        <w:ind w:left="2946" w:hanging="360"/>
      </w:pPr>
      <w:rPr>
        <w:rFonts w:ascii="Courier New" w:hAnsi="Courier New" w:cs="Courier New" w:hint="default"/>
      </w:rPr>
    </w:lvl>
    <w:lvl w:ilvl="5" w:tplc="080A0005" w:tentative="1">
      <w:start w:val="1"/>
      <w:numFmt w:val="bullet"/>
      <w:lvlText w:val=""/>
      <w:lvlJc w:val="left"/>
      <w:pPr>
        <w:ind w:left="3666" w:hanging="360"/>
      </w:pPr>
      <w:rPr>
        <w:rFonts w:ascii="Wingdings" w:hAnsi="Wingdings" w:hint="default"/>
      </w:rPr>
    </w:lvl>
    <w:lvl w:ilvl="6" w:tplc="080A0001" w:tentative="1">
      <w:start w:val="1"/>
      <w:numFmt w:val="bullet"/>
      <w:lvlText w:val=""/>
      <w:lvlJc w:val="left"/>
      <w:pPr>
        <w:ind w:left="4386" w:hanging="360"/>
      </w:pPr>
      <w:rPr>
        <w:rFonts w:ascii="Symbol" w:hAnsi="Symbol" w:hint="default"/>
      </w:rPr>
    </w:lvl>
    <w:lvl w:ilvl="7" w:tplc="080A0003" w:tentative="1">
      <w:start w:val="1"/>
      <w:numFmt w:val="bullet"/>
      <w:lvlText w:val="o"/>
      <w:lvlJc w:val="left"/>
      <w:pPr>
        <w:ind w:left="5106" w:hanging="360"/>
      </w:pPr>
      <w:rPr>
        <w:rFonts w:ascii="Courier New" w:hAnsi="Courier New" w:cs="Courier New" w:hint="default"/>
      </w:rPr>
    </w:lvl>
    <w:lvl w:ilvl="8" w:tplc="080A0005" w:tentative="1">
      <w:start w:val="1"/>
      <w:numFmt w:val="bullet"/>
      <w:lvlText w:val=""/>
      <w:lvlJc w:val="left"/>
      <w:pPr>
        <w:ind w:left="5826" w:hanging="360"/>
      </w:pPr>
      <w:rPr>
        <w:rFonts w:ascii="Wingdings" w:hAnsi="Wingdings" w:hint="default"/>
      </w:rPr>
    </w:lvl>
  </w:abstractNum>
  <w:abstractNum w:abstractNumId="1" w15:restartNumberingAfterBreak="0">
    <w:nsid w:val="227B79ED"/>
    <w:multiLevelType w:val="hybridMultilevel"/>
    <w:tmpl w:val="8E34C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cs="Times New Roman" w:hint="default"/>
      </w:rPr>
    </w:lvl>
    <w:lvl w:ilvl="1" w:tplc="F29AA1B4">
      <w:start w:val="1"/>
      <w:numFmt w:val="bullet"/>
      <w:lvlText w:val="•"/>
      <w:lvlJc w:val="left"/>
      <w:pPr>
        <w:tabs>
          <w:tab w:val="num" w:pos="1440"/>
        </w:tabs>
        <w:ind w:left="1440" w:hanging="360"/>
      </w:pPr>
      <w:rPr>
        <w:rFonts w:ascii="Arial" w:hAnsi="Arial" w:cs="Times New Roman" w:hint="default"/>
      </w:rPr>
    </w:lvl>
    <w:lvl w:ilvl="2" w:tplc="091AAA28">
      <w:start w:val="1"/>
      <w:numFmt w:val="bullet"/>
      <w:lvlText w:val="•"/>
      <w:lvlJc w:val="left"/>
      <w:pPr>
        <w:tabs>
          <w:tab w:val="num" w:pos="2160"/>
        </w:tabs>
        <w:ind w:left="2160" w:hanging="360"/>
      </w:pPr>
      <w:rPr>
        <w:rFonts w:ascii="Arial" w:hAnsi="Arial" w:cs="Times New Roman" w:hint="default"/>
      </w:rPr>
    </w:lvl>
    <w:lvl w:ilvl="3" w:tplc="43FEF71A">
      <w:start w:val="1"/>
      <w:numFmt w:val="bullet"/>
      <w:lvlText w:val="•"/>
      <w:lvlJc w:val="left"/>
      <w:pPr>
        <w:tabs>
          <w:tab w:val="num" w:pos="2880"/>
        </w:tabs>
        <w:ind w:left="2880" w:hanging="360"/>
      </w:pPr>
      <w:rPr>
        <w:rFonts w:ascii="Arial" w:hAnsi="Arial" w:cs="Times New Roman" w:hint="default"/>
      </w:rPr>
    </w:lvl>
    <w:lvl w:ilvl="4" w:tplc="4C96AE80">
      <w:start w:val="1"/>
      <w:numFmt w:val="bullet"/>
      <w:lvlText w:val="•"/>
      <w:lvlJc w:val="left"/>
      <w:pPr>
        <w:tabs>
          <w:tab w:val="num" w:pos="3600"/>
        </w:tabs>
        <w:ind w:left="3600" w:hanging="360"/>
      </w:pPr>
      <w:rPr>
        <w:rFonts w:ascii="Arial" w:hAnsi="Arial" w:cs="Times New Roman" w:hint="default"/>
      </w:rPr>
    </w:lvl>
    <w:lvl w:ilvl="5" w:tplc="DB9C70BC">
      <w:start w:val="1"/>
      <w:numFmt w:val="bullet"/>
      <w:lvlText w:val="•"/>
      <w:lvlJc w:val="left"/>
      <w:pPr>
        <w:tabs>
          <w:tab w:val="num" w:pos="4320"/>
        </w:tabs>
        <w:ind w:left="4320" w:hanging="360"/>
      </w:pPr>
      <w:rPr>
        <w:rFonts w:ascii="Arial" w:hAnsi="Arial" w:cs="Times New Roman" w:hint="default"/>
      </w:rPr>
    </w:lvl>
    <w:lvl w:ilvl="6" w:tplc="3C2CC050">
      <w:start w:val="1"/>
      <w:numFmt w:val="bullet"/>
      <w:lvlText w:val="•"/>
      <w:lvlJc w:val="left"/>
      <w:pPr>
        <w:tabs>
          <w:tab w:val="num" w:pos="5040"/>
        </w:tabs>
        <w:ind w:left="5040" w:hanging="360"/>
      </w:pPr>
      <w:rPr>
        <w:rFonts w:ascii="Arial" w:hAnsi="Arial" w:cs="Times New Roman" w:hint="default"/>
      </w:rPr>
    </w:lvl>
    <w:lvl w:ilvl="7" w:tplc="4802C0A0">
      <w:start w:val="1"/>
      <w:numFmt w:val="bullet"/>
      <w:lvlText w:val="•"/>
      <w:lvlJc w:val="left"/>
      <w:pPr>
        <w:tabs>
          <w:tab w:val="num" w:pos="5760"/>
        </w:tabs>
        <w:ind w:left="5760" w:hanging="360"/>
      </w:pPr>
      <w:rPr>
        <w:rFonts w:ascii="Arial" w:hAnsi="Arial" w:cs="Times New Roman" w:hint="default"/>
      </w:rPr>
    </w:lvl>
    <w:lvl w:ilvl="8" w:tplc="2EA0FDCA">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AB"/>
    <w:rsid w:val="000A6797"/>
    <w:rsid w:val="00100703"/>
    <w:rsid w:val="00323722"/>
    <w:rsid w:val="00395AAB"/>
    <w:rsid w:val="005035BA"/>
    <w:rsid w:val="007C3FF7"/>
    <w:rsid w:val="00810A7E"/>
    <w:rsid w:val="008552AB"/>
    <w:rsid w:val="00AD315B"/>
    <w:rsid w:val="00DB0475"/>
    <w:rsid w:val="00F83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94F4"/>
  <w15:chartTrackingRefBased/>
  <w15:docId w15:val="{907E456E-1990-48A0-BCB9-E590A375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AB"/>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0A7E"/>
    <w:rPr>
      <w:color w:val="0563C1" w:themeColor="hyperlink"/>
      <w:u w:val="single"/>
    </w:rPr>
  </w:style>
  <w:style w:type="paragraph" w:customStyle="1" w:styleId="Default">
    <w:name w:val="Default"/>
    <w:rsid w:val="00810A7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A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B0475"/>
    <w:rPr>
      <w:color w:val="605E5C"/>
      <w:shd w:val="clear" w:color="auto" w:fill="E1DFDD"/>
    </w:rPr>
  </w:style>
  <w:style w:type="paragraph" w:styleId="Prrafodelista">
    <w:name w:val="List Paragraph"/>
    <w:basedOn w:val="Normal"/>
    <w:uiPriority w:val="34"/>
    <w:qFormat/>
    <w:rsid w:val="00DB0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MMlaQ_ESbM" TargetMode="External"/><Relationship Id="rId3" Type="http://schemas.openxmlformats.org/officeDocument/2006/relationships/settings" Target="settings.xml"/><Relationship Id="rId7" Type="http://schemas.openxmlformats.org/officeDocument/2006/relationships/hyperlink" Target="https://www.youtube.com/watch?v=oBxcVWrU-w8&amp;t=46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Jtxy2vjHj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1765</Words>
  <Characters>9711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4</cp:revision>
  <dcterms:created xsi:type="dcterms:W3CDTF">2021-06-23T21:39:00Z</dcterms:created>
  <dcterms:modified xsi:type="dcterms:W3CDTF">2021-06-24T03:39:00Z</dcterms:modified>
</cp:coreProperties>
</file>