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7DBC4329" w14:textId="04AF9EE2" w:rsidR="00D91C22" w:rsidRPr="00233A3B" w:rsidRDefault="00D91C22" w:rsidP="00233A3B">
      <w:pPr>
        <w:pStyle w:val="Ttulo1"/>
        <w:spacing w:before="30" w:after="75"/>
        <w:jc w:val="both"/>
        <w:divId w:val="1767770831"/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</w:pPr>
      <w:r w:rsidRPr="00233A3B">
        <w:rPr>
          <w:rFonts w:ascii="Abadi Extra Light" w:hAnsi="Abadi Extra Light" w:cs="Arial"/>
          <w:color w:val="000000"/>
          <w:sz w:val="22"/>
          <w:szCs w:val="22"/>
        </w:rPr>
        <w:t>Unidad I</w:t>
      </w:r>
      <w:r w:rsidR="00664F57" w:rsidRPr="00233A3B">
        <w:rPr>
          <w:rFonts w:ascii="Abadi Extra Light" w:hAnsi="Abadi Extra Light" w:cs="Arial"/>
          <w:color w:val="000000"/>
          <w:sz w:val="22"/>
          <w:szCs w:val="22"/>
        </w:rPr>
        <w:t xml:space="preserve">II </w:t>
      </w:r>
      <w:r w:rsidR="00233A3B" w:rsidRPr="00233A3B"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  <w:t>CONDICIONES NECESARIAS EN LAS SITUACIONES DIDÁCTICAS DE LECTURA. 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65ADF3E0" w:rsidR="00EC4D95" w:rsidRPr="008D238B" w:rsidRDefault="00090EB8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11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>
        <w:rPr>
          <w:rFonts w:ascii="Abadi Extra Light" w:hAnsi="Abadi Extra Light" w:cs="Arial"/>
          <w:color w:val="000000"/>
          <w:sz w:val="36"/>
          <w:szCs w:val="36"/>
        </w:rPr>
        <w:t>6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488"/>
      </w:tblGrid>
      <w:tr w:rsidR="006C0E9E" w:rsidRPr="006C0E9E" w14:paraId="5A3D1424" w14:textId="77777777">
        <w:trPr>
          <w:divId w:val="662779712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6C1F768" w14:textId="77777777" w:rsidR="006C0E9E" w:rsidRPr="006C0E9E" w:rsidRDefault="006C0E9E" w:rsidP="006C0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6C0E9E" w:rsidRPr="006C0E9E" w14:paraId="056F4F85" w14:textId="77777777">
        <w:trPr>
          <w:divId w:val="662779712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743A8E3A" w14:textId="77777777" w:rsidR="006C0E9E" w:rsidRPr="006C0E9E" w:rsidRDefault="006C0E9E" w:rsidP="006C0E9E">
            <w:pPr>
              <w:spacing w:before="30" w:after="30" w:line="240" w:lineRule="auto"/>
              <w:ind w:left="12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MX" w:eastAsia="es-MX"/>
              </w:rPr>
            </w:pPr>
            <w:r w:rsidRPr="006C0E9E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MX" w:eastAsia="es-MX"/>
              </w:rPr>
              <w:lastRenderedPageBreak/>
              <w:t>Instrucciones</w:t>
            </w:r>
          </w:p>
        </w:tc>
      </w:tr>
      <w:tr w:rsidR="006C0E9E" w:rsidRPr="006C0E9E" w14:paraId="60FB964A" w14:textId="77777777">
        <w:trPr>
          <w:divId w:val="662779712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1A4A4BF4" w14:textId="77777777" w:rsidR="006C0E9E" w:rsidRPr="006C0E9E" w:rsidRDefault="006C0E9E" w:rsidP="006C0E9E">
            <w:pPr>
              <w:spacing w:before="100" w:beforeAutospacing="1" w:after="120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6C0E9E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En la antología de Desarrollo de las Competencias Lectoras leer los temas:</w:t>
            </w:r>
          </w:p>
          <w:p w14:paraId="2F5090AE" w14:textId="77777777" w:rsidR="006C0E9E" w:rsidRPr="006C0E9E" w:rsidRDefault="006C0E9E" w:rsidP="006C0E9E">
            <w:pPr>
              <w:spacing w:before="100" w:beforeAutospacing="1" w:after="120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6C0E9E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LA COMPETENCIA LECTORA (2ª parte)</w:t>
            </w:r>
          </w:p>
          <w:p w14:paraId="40CB302A" w14:textId="77777777" w:rsidR="006C0E9E" w:rsidRPr="006C0E9E" w:rsidRDefault="006C0E9E" w:rsidP="006C0E9E">
            <w:pPr>
              <w:spacing w:before="100" w:beforeAutospacing="1" w:after="100" w:afterAutospacing="1" w:line="240" w:lineRule="auto"/>
              <w:ind w:left="60" w:hanging="3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6C0E9E">
              <w:rPr>
                <w:rFonts w:ascii="Symbol" w:hAnsi="Symbol" w:cs="Times New Roman"/>
                <w:color w:val="000000"/>
                <w:sz w:val="24"/>
                <w:szCs w:val="24"/>
                <w:lang w:val="es-MX" w:eastAsia="es-MX"/>
              </w:rPr>
              <w:t>·</w:t>
            </w:r>
            <w:r w:rsidRPr="006C0E9E">
              <w:rPr>
                <w:rFonts w:ascii="Times New Roman" w:hAnsi="Times New Roman" w:cs="Times New Roman"/>
                <w:color w:val="000000"/>
                <w:sz w:val="24"/>
                <w:szCs w:val="24"/>
                <w:lang w:val="es-MX" w:eastAsia="es-MX"/>
              </w:rPr>
              <w:t>         </w:t>
            </w:r>
            <w:r w:rsidRPr="006C0E9E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La comprensión</w:t>
            </w:r>
          </w:p>
          <w:p w14:paraId="4E0383A3" w14:textId="77777777" w:rsidR="006C0E9E" w:rsidRPr="006C0E9E" w:rsidRDefault="006C0E9E" w:rsidP="006C0E9E">
            <w:pPr>
              <w:spacing w:before="100" w:beforeAutospacing="1" w:after="100" w:afterAutospacing="1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6C0E9E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   Al terminar r</w:t>
            </w: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MX" w:eastAsia="es-MX"/>
              </w:rPr>
              <w:t>esponde o complementa, en la misma antología, los siguientes cuestionamientos:</w:t>
            </w:r>
          </w:p>
          <w:p w14:paraId="77DDEFE2" w14:textId="4A22F1E1" w:rsidR="006C0E9E" w:rsidRDefault="006C0E9E" w:rsidP="006C0E9E">
            <w:pPr>
              <w:spacing w:after="120" w:line="240" w:lineRule="auto"/>
              <w:ind w:left="60"/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</w:pP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  7.- Algunas sugerencias para practicar la fluidez en el aula son:</w:t>
            </w:r>
          </w:p>
          <w:p w14:paraId="39A61969" w14:textId="3F24478A" w:rsidR="00F35108" w:rsidRDefault="00E10105" w:rsidP="00E10105">
            <w:pPr>
              <w:pStyle w:val="Prrafodelista"/>
              <w:numPr>
                <w:ilvl w:val="0"/>
                <w:numId w:val="21"/>
              </w:numPr>
              <w:spacing w:after="120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Leer en voz alta utilizando diferentes textos </w:t>
            </w:r>
          </w:p>
          <w:p w14:paraId="6DD9542B" w14:textId="171B5688" w:rsidR="008762EC" w:rsidRDefault="008762EC" w:rsidP="00E10105">
            <w:pPr>
              <w:pStyle w:val="Prrafodelista"/>
              <w:numPr>
                <w:ilvl w:val="0"/>
                <w:numId w:val="21"/>
              </w:numPr>
              <w:spacing w:after="120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Ofrecer años estudiantes personas </w:t>
            </w:r>
          </w:p>
          <w:p w14:paraId="0ED353A2" w14:textId="6FCFB52B" w:rsidR="008762EC" w:rsidRDefault="008762EC" w:rsidP="00E10105">
            <w:pPr>
              <w:pStyle w:val="Prrafodelista"/>
              <w:numPr>
                <w:ilvl w:val="0"/>
                <w:numId w:val="21"/>
              </w:numPr>
              <w:spacing w:after="120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Practicar la lectura alumno: alumno</w:t>
            </w:r>
          </w:p>
          <w:p w14:paraId="0E6615AE" w14:textId="5031DECD" w:rsidR="00B33194" w:rsidRPr="00E10105" w:rsidRDefault="00B33194" w:rsidP="00E10105">
            <w:pPr>
              <w:pStyle w:val="Prrafodelista"/>
              <w:numPr>
                <w:ilvl w:val="0"/>
                <w:numId w:val="21"/>
              </w:numPr>
              <w:spacing w:after="120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Practicar la lectura en eco.</w:t>
            </w:r>
          </w:p>
          <w:p w14:paraId="1848B1FB" w14:textId="77777777" w:rsidR="006C0E9E" w:rsidRPr="006C0E9E" w:rsidRDefault="006C0E9E" w:rsidP="006C0E9E">
            <w:pPr>
              <w:spacing w:after="120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 8.- La velocidad y fluidez lectora son crecientes con la edad y conforme aumenta el grado escolar, es necesario medirlas periódicamente para que el estudiante y el docente puedan conocer su progreso y nivel de logro. ¿Cómo se miden?</w:t>
            </w:r>
          </w:p>
          <w:p w14:paraId="37E0ADD8" w14:textId="272A7F01" w:rsidR="006C0E9E" w:rsidRPr="006C0E9E" w:rsidRDefault="006C0E9E" w:rsidP="006C0E9E">
            <w:pPr>
              <w:spacing w:after="120" w:line="360" w:lineRule="atLeast"/>
              <w:ind w:left="417" w:hanging="357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6C0E9E">
              <w:rPr>
                <w:rFonts w:ascii="Symbol" w:hAnsi="Symbol" w:cs="Times New Roman"/>
                <w:color w:val="222222"/>
                <w:sz w:val="24"/>
                <w:szCs w:val="24"/>
                <w:lang w:val="es-ES" w:eastAsia="es-MX"/>
              </w:rPr>
              <w:t>·</w:t>
            </w:r>
            <w:r w:rsidRPr="006C0E9E">
              <w:rPr>
                <w:rFonts w:ascii="Times New Roman" w:hAnsi="Times New Roman" w:cs="Times New Roman"/>
                <w:color w:val="222222"/>
                <w:sz w:val="24"/>
                <w:szCs w:val="24"/>
                <w:lang w:val="es-ES" w:eastAsia="es-MX"/>
              </w:rPr>
              <w:t>         </w:t>
            </w: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La velocidad lectora </w:t>
            </w:r>
            <w:r w:rsidR="00EA39FA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se mide durante la lectura </w:t>
            </w:r>
            <w:r w:rsidR="006131E7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silenciosa estableciendo la cantidad de palabras por minuto </w:t>
            </w:r>
          </w:p>
          <w:p w14:paraId="417A1222" w14:textId="51AA6AA1" w:rsidR="006C0E9E" w:rsidRPr="006C0E9E" w:rsidRDefault="006C0E9E" w:rsidP="006C0E9E">
            <w:pPr>
              <w:spacing w:after="120" w:line="360" w:lineRule="atLeast"/>
              <w:ind w:left="417" w:hanging="357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6C0E9E">
              <w:rPr>
                <w:rFonts w:ascii="Symbol" w:hAnsi="Symbol" w:cs="Times New Roman"/>
                <w:color w:val="222222"/>
                <w:sz w:val="24"/>
                <w:szCs w:val="24"/>
                <w:lang w:val="es-ES" w:eastAsia="es-MX"/>
              </w:rPr>
              <w:t>·</w:t>
            </w:r>
            <w:r w:rsidRPr="006C0E9E">
              <w:rPr>
                <w:rFonts w:ascii="Times New Roman" w:hAnsi="Times New Roman" w:cs="Times New Roman"/>
                <w:color w:val="222222"/>
                <w:sz w:val="24"/>
                <w:szCs w:val="24"/>
                <w:lang w:val="es-ES" w:eastAsia="es-MX"/>
              </w:rPr>
              <w:t>         </w:t>
            </w: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La fluidez lectora </w:t>
            </w:r>
            <w:r w:rsidR="006131E7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se mide en la lectura </w:t>
            </w:r>
            <w:r w:rsidR="00274665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oral y se mide </w:t>
            </w:r>
            <w:r w:rsidR="008A37E6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el número de palabras </w:t>
            </w:r>
            <w:r w:rsidR="005F3DA3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leídas.</w:t>
            </w:r>
          </w:p>
          <w:p w14:paraId="031673F4" w14:textId="74A04445" w:rsidR="006C0E9E" w:rsidRDefault="006C0E9E" w:rsidP="006C0E9E">
            <w:pPr>
              <w:spacing w:after="120" w:line="360" w:lineRule="atLeast"/>
              <w:ind w:left="60"/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</w:pP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  9.- La comprensión o competencia es…</w:t>
            </w:r>
          </w:p>
          <w:p w14:paraId="4367F28B" w14:textId="4C0F872D" w:rsidR="00A92A50" w:rsidRPr="006C0E9E" w:rsidRDefault="00A92A50" w:rsidP="006C0E9E">
            <w:pPr>
              <w:spacing w:after="120" w:line="360" w:lineRule="atLeast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Es la que se da conforme </w:t>
            </w:r>
            <w:r w:rsidR="00E62739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se va </w:t>
            </w:r>
            <w:r w:rsidR="00FB2E72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desarrollando la capacidad de decodificar eficientemente </w:t>
            </w:r>
            <w:r w:rsidR="001961E3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a la comprensión </w:t>
            </w:r>
          </w:p>
          <w:p w14:paraId="0F6B03B4" w14:textId="3CF38063" w:rsidR="006C0E9E" w:rsidRDefault="006C0E9E" w:rsidP="006C0E9E">
            <w:pPr>
              <w:spacing w:after="120" w:line="240" w:lineRule="auto"/>
              <w:ind w:left="60"/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</w:pP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  10.- La comprensión lectora tiene tres componentes. Descríbelos: </w:t>
            </w:r>
          </w:p>
          <w:p w14:paraId="64912204" w14:textId="1F512ED0" w:rsidR="00240746" w:rsidRDefault="004B123D" w:rsidP="006C0E9E">
            <w:pPr>
              <w:spacing w:after="120" w:line="240" w:lineRule="auto"/>
              <w:ind w:left="60"/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El conocimiento previo: es para poder comprender la información y experiencia </w:t>
            </w:r>
            <w:r w:rsidR="00A056ED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que posee el lector mediante su vocabulario. </w:t>
            </w:r>
          </w:p>
          <w:p w14:paraId="087D9F15" w14:textId="1E81E57D" w:rsidR="00A056ED" w:rsidRDefault="00402442" w:rsidP="006C0E9E">
            <w:pPr>
              <w:spacing w:after="120" w:line="240" w:lineRule="auto"/>
              <w:ind w:left="60"/>
              <w:rPr>
                <w:rFonts w:ascii="Arial" w:hAnsi="Arial" w:cs="Arial"/>
                <w:color w:val="222222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La actitud de diálogo </w:t>
            </w:r>
            <w:r w:rsidR="00D83386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en la comprensión lectora</w:t>
            </w:r>
            <w:r w:rsidR="007C658F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 xml:space="preserve"> </w:t>
            </w:r>
            <w:r w:rsidR="00FF7610">
              <w:rPr>
                <w:rFonts w:ascii="Arial" w:hAnsi="Arial" w:cs="Arial"/>
                <w:color w:val="222222"/>
                <w:sz w:val="24"/>
                <w:szCs w:val="24"/>
                <w:lang w:val="x-none" w:eastAsia="es-MX"/>
              </w:rPr>
              <w:t>Éstas son evidencias de que elector está disfrutando lo que está leyendo ya que puede sonreír se puede sorprender enojar entristecer dependiendo lo que sea que está leyendo</w:t>
            </w:r>
            <w:r w:rsidR="00FF7610">
              <w:rPr>
                <w:rFonts w:ascii="Arial" w:hAnsi="Arial" w:cs="Arial"/>
                <w:color w:val="222222"/>
                <w:sz w:val="24"/>
                <w:szCs w:val="24"/>
                <w:lang w:val="es-MX" w:eastAsia="es-MX"/>
              </w:rPr>
              <w:t>.</w:t>
            </w:r>
          </w:p>
          <w:p w14:paraId="784DB4DD" w14:textId="238BCBF3" w:rsidR="00FF7610" w:rsidRPr="00FF7610" w:rsidRDefault="0030655F" w:rsidP="006C0E9E">
            <w:pPr>
              <w:spacing w:after="120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s-MX" w:eastAsia="es-MX"/>
              </w:rPr>
              <w:t xml:space="preserve">La crítica: Se refiere a la capacidad </w:t>
            </w:r>
            <w:r w:rsidR="002338C1">
              <w:rPr>
                <w:rFonts w:ascii="Arial" w:hAnsi="Arial" w:cs="Arial"/>
                <w:color w:val="222222"/>
                <w:sz w:val="24"/>
                <w:szCs w:val="24"/>
                <w:lang w:val="es-MX" w:eastAsia="es-MX"/>
              </w:rPr>
              <w:t xml:space="preserve">para </w:t>
            </w:r>
            <w:r w:rsidR="00332BB2">
              <w:rPr>
                <w:rFonts w:ascii="Arial" w:hAnsi="Arial" w:cs="Arial"/>
                <w:color w:val="222222"/>
                <w:sz w:val="24"/>
                <w:szCs w:val="24"/>
                <w:lang w:val="es-MX" w:eastAsia="es-MX"/>
              </w:rPr>
              <w:t xml:space="preserve">evaluar y valorar las ideas e información presentada </w:t>
            </w:r>
            <w:r w:rsidR="00FE59B8">
              <w:rPr>
                <w:rFonts w:ascii="Arial" w:hAnsi="Arial" w:cs="Arial"/>
                <w:color w:val="222222"/>
                <w:sz w:val="24"/>
                <w:szCs w:val="24"/>
                <w:lang w:val="es-MX" w:eastAsia="es-MX"/>
              </w:rPr>
              <w:t>en un texto</w:t>
            </w:r>
            <w:r w:rsidR="0088123A">
              <w:rPr>
                <w:rFonts w:ascii="Arial" w:hAnsi="Arial" w:cs="Arial"/>
                <w:color w:val="222222"/>
                <w:sz w:val="24"/>
                <w:szCs w:val="24"/>
                <w:lang w:val="es-MX" w:eastAsia="es-MX"/>
              </w:rPr>
              <w:t xml:space="preserve">. </w:t>
            </w:r>
          </w:p>
          <w:p w14:paraId="1779BC61" w14:textId="451BE0E0" w:rsidR="006C0E9E" w:rsidRDefault="006C0E9E" w:rsidP="006C0E9E">
            <w:pPr>
              <w:spacing w:after="120" w:line="240" w:lineRule="auto"/>
              <w:ind w:left="60"/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</w:pP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  11.- ¿Cuál es la diferencia entre la lectura comprensiva y la lectura crítica?</w:t>
            </w:r>
          </w:p>
          <w:p w14:paraId="598EC2AC" w14:textId="0DC4D19B" w:rsidR="0088123A" w:rsidRPr="006C0E9E" w:rsidRDefault="001A6236" w:rsidP="006C0E9E">
            <w:pPr>
              <w:spacing w:after="120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La lectura comprensiva pretender identificar y descubrir la información y las ideas dentro de un texto </w:t>
            </w:r>
            <w:r w:rsidR="002834E0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mientras que la crítica consiste en evaluar esta información es decir su validez y veracidad </w:t>
            </w:r>
          </w:p>
          <w:p w14:paraId="343C9142" w14:textId="7CA2AF96" w:rsidR="006C0E9E" w:rsidRDefault="006C0E9E" w:rsidP="006C0E9E">
            <w:pPr>
              <w:spacing w:after="120" w:line="240" w:lineRule="auto"/>
              <w:ind w:left="60"/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</w:pP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  12.- Algunas sugerencias para ejercitar en los estudiantes esta capacidad crítica son:</w:t>
            </w:r>
          </w:p>
          <w:p w14:paraId="0836FF03" w14:textId="3D692CBB" w:rsidR="0012686A" w:rsidRDefault="00EC76A1" w:rsidP="00E53FB4">
            <w:pPr>
              <w:pStyle w:val="Prrafodelista"/>
              <w:numPr>
                <w:ilvl w:val="0"/>
                <w:numId w:val="22"/>
              </w:numPr>
              <w:spacing w:after="120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lastRenderedPageBreak/>
              <w:t xml:space="preserve">Ayúdales a desarrollar una actitud de duda  e interrogación </w:t>
            </w:r>
            <w:r w:rsidR="00251E8A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constante respecto a lo que leen </w:t>
            </w:r>
          </w:p>
          <w:p w14:paraId="06E5C5F9" w14:textId="558EED26" w:rsidR="00625C7C" w:rsidRDefault="00625C7C" w:rsidP="00E53FB4">
            <w:pPr>
              <w:pStyle w:val="Prrafodelista"/>
              <w:numPr>
                <w:ilvl w:val="0"/>
                <w:numId w:val="22"/>
              </w:numPr>
              <w:spacing w:after="120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Oriénteles para reconocer supuestos y evidencias </w:t>
            </w:r>
          </w:p>
          <w:p w14:paraId="672CA10C" w14:textId="1F175AB5" w:rsidR="00625C7C" w:rsidRDefault="00625C7C" w:rsidP="00E53FB4">
            <w:pPr>
              <w:pStyle w:val="Prrafodelista"/>
              <w:numPr>
                <w:ilvl w:val="0"/>
                <w:numId w:val="22"/>
              </w:numPr>
              <w:spacing w:after="120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Oriénteles para identificar </w:t>
            </w:r>
            <w:r w:rsidR="00F75552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sentimientos que la lectura les provoca o prénsense provocar</w:t>
            </w:r>
            <w:r w:rsidR="00C3411D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>.</w:t>
            </w:r>
            <w:r w:rsidR="00F75552"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</w:p>
          <w:p w14:paraId="63CDC795" w14:textId="64BC18FC" w:rsidR="00F75552" w:rsidRPr="00E53FB4" w:rsidRDefault="00C3411D" w:rsidP="00E53FB4">
            <w:pPr>
              <w:pStyle w:val="Prrafodelista"/>
              <w:numPr>
                <w:ilvl w:val="0"/>
                <w:numId w:val="22"/>
              </w:numPr>
              <w:spacing w:after="120" w:line="240" w:lineRule="auto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  <w:t xml:space="preserve">Oriénteles para hacer referencias. </w:t>
            </w:r>
          </w:p>
          <w:p w14:paraId="129D576A" w14:textId="77777777" w:rsidR="006C0E9E" w:rsidRPr="006C0E9E" w:rsidRDefault="006C0E9E" w:rsidP="006C0E9E">
            <w:pPr>
              <w:spacing w:after="120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392F2718" w14:textId="77777777" w:rsidR="006C0E9E" w:rsidRPr="006C0E9E" w:rsidRDefault="006C0E9E" w:rsidP="006C0E9E">
            <w:pPr>
              <w:spacing w:after="120" w:line="240" w:lineRule="auto"/>
              <w:ind w:left="60"/>
              <w:rPr>
                <w:rFonts w:ascii="Verdana" w:hAnsi="Verdana" w:cs="Times New Roman"/>
                <w:color w:val="000000"/>
                <w:sz w:val="24"/>
                <w:szCs w:val="24"/>
                <w:lang w:val="es-MX" w:eastAsia="es-MX"/>
              </w:rPr>
            </w:pPr>
            <w:r w:rsidRPr="006C0E9E">
              <w:rPr>
                <w:rFonts w:ascii="Arial" w:hAnsi="Arial" w:cs="Arial"/>
                <w:color w:val="222222"/>
                <w:sz w:val="24"/>
                <w:szCs w:val="24"/>
                <w:lang w:val="es-ES" w:eastAsia="es-MX"/>
              </w:rPr>
              <w:t>Al terminar pasa los cuestionamientos a word y envíalos para su revisión.</w:t>
            </w:r>
          </w:p>
        </w:tc>
      </w:tr>
    </w:tbl>
    <w:p w14:paraId="2EC1752B" w14:textId="77777777" w:rsidR="006C0E9E" w:rsidRPr="006C0E9E" w:rsidRDefault="006C0E9E" w:rsidP="006C0E9E">
      <w:pPr>
        <w:spacing w:after="0" w:line="240" w:lineRule="auto"/>
        <w:divId w:val="662779712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2A89525E" w14:textId="77777777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B30"/>
    <w:multiLevelType w:val="hybridMultilevel"/>
    <w:tmpl w:val="FF646CA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6A56"/>
    <w:multiLevelType w:val="hybridMultilevel"/>
    <w:tmpl w:val="42F88A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352911"/>
    <w:multiLevelType w:val="hybridMultilevel"/>
    <w:tmpl w:val="524462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3"/>
  </w:num>
  <w:num w:numId="8">
    <w:abstractNumId w:val="16"/>
  </w:num>
  <w:num w:numId="9">
    <w:abstractNumId w:val="7"/>
  </w:num>
  <w:num w:numId="10">
    <w:abstractNumId w:val="0"/>
  </w:num>
  <w:num w:numId="11">
    <w:abstractNumId w:val="15"/>
  </w:num>
  <w:num w:numId="12">
    <w:abstractNumId w:val="14"/>
  </w:num>
  <w:num w:numId="13">
    <w:abstractNumId w:val="2"/>
  </w:num>
  <w:num w:numId="14">
    <w:abstractNumId w:val="21"/>
  </w:num>
  <w:num w:numId="15">
    <w:abstractNumId w:val="17"/>
  </w:num>
  <w:num w:numId="16">
    <w:abstractNumId w:val="6"/>
  </w:num>
  <w:num w:numId="17">
    <w:abstractNumId w:val="5"/>
  </w:num>
  <w:num w:numId="18">
    <w:abstractNumId w:val="19"/>
  </w:num>
  <w:num w:numId="19">
    <w:abstractNumId w:val="20"/>
  </w:num>
  <w:num w:numId="20">
    <w:abstractNumId w:val="11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71EE7"/>
    <w:rsid w:val="00086144"/>
    <w:rsid w:val="00090EB8"/>
    <w:rsid w:val="00092D7E"/>
    <w:rsid w:val="000B7A97"/>
    <w:rsid w:val="000E1590"/>
    <w:rsid w:val="000E3C07"/>
    <w:rsid w:val="00112E7D"/>
    <w:rsid w:val="00126618"/>
    <w:rsid w:val="0012686A"/>
    <w:rsid w:val="00135017"/>
    <w:rsid w:val="00137219"/>
    <w:rsid w:val="00145182"/>
    <w:rsid w:val="00181F6B"/>
    <w:rsid w:val="00185E66"/>
    <w:rsid w:val="00194F41"/>
    <w:rsid w:val="001961E3"/>
    <w:rsid w:val="001A6236"/>
    <w:rsid w:val="001B33EA"/>
    <w:rsid w:val="001B41F9"/>
    <w:rsid w:val="001B5EBD"/>
    <w:rsid w:val="001C51E6"/>
    <w:rsid w:val="001C7ED3"/>
    <w:rsid w:val="001D6C96"/>
    <w:rsid w:val="001E30B2"/>
    <w:rsid w:val="00200EA5"/>
    <w:rsid w:val="00200F9B"/>
    <w:rsid w:val="00203698"/>
    <w:rsid w:val="00204534"/>
    <w:rsid w:val="002069B9"/>
    <w:rsid w:val="00227E7E"/>
    <w:rsid w:val="002338C1"/>
    <w:rsid w:val="00233A3B"/>
    <w:rsid w:val="00240746"/>
    <w:rsid w:val="00251E8A"/>
    <w:rsid w:val="00266F8A"/>
    <w:rsid w:val="00274665"/>
    <w:rsid w:val="002834E0"/>
    <w:rsid w:val="002870F8"/>
    <w:rsid w:val="002C51B2"/>
    <w:rsid w:val="002D7769"/>
    <w:rsid w:val="002E7D30"/>
    <w:rsid w:val="002F4D80"/>
    <w:rsid w:val="0030655F"/>
    <w:rsid w:val="00332BB2"/>
    <w:rsid w:val="003341EF"/>
    <w:rsid w:val="00340DE3"/>
    <w:rsid w:val="00370886"/>
    <w:rsid w:val="00371B56"/>
    <w:rsid w:val="003D3CA7"/>
    <w:rsid w:val="003D4C52"/>
    <w:rsid w:val="003F56F5"/>
    <w:rsid w:val="00402442"/>
    <w:rsid w:val="0041421C"/>
    <w:rsid w:val="00420438"/>
    <w:rsid w:val="00440F72"/>
    <w:rsid w:val="00473361"/>
    <w:rsid w:val="004916A5"/>
    <w:rsid w:val="0049549F"/>
    <w:rsid w:val="004A2170"/>
    <w:rsid w:val="004B123D"/>
    <w:rsid w:val="004B37E4"/>
    <w:rsid w:val="004C728D"/>
    <w:rsid w:val="004C7A2A"/>
    <w:rsid w:val="004D2B57"/>
    <w:rsid w:val="004D3CD2"/>
    <w:rsid w:val="004F644F"/>
    <w:rsid w:val="0053156D"/>
    <w:rsid w:val="00561344"/>
    <w:rsid w:val="00583950"/>
    <w:rsid w:val="005845B2"/>
    <w:rsid w:val="00594CDB"/>
    <w:rsid w:val="005A216E"/>
    <w:rsid w:val="005B04F1"/>
    <w:rsid w:val="005B5155"/>
    <w:rsid w:val="005C08EE"/>
    <w:rsid w:val="005C344C"/>
    <w:rsid w:val="005D061C"/>
    <w:rsid w:val="005F3DA3"/>
    <w:rsid w:val="006131E7"/>
    <w:rsid w:val="00623656"/>
    <w:rsid w:val="00625C7C"/>
    <w:rsid w:val="00636BB6"/>
    <w:rsid w:val="00664F57"/>
    <w:rsid w:val="00682218"/>
    <w:rsid w:val="0069795E"/>
    <w:rsid w:val="006C0173"/>
    <w:rsid w:val="006C07C3"/>
    <w:rsid w:val="006C0E9E"/>
    <w:rsid w:val="006D1465"/>
    <w:rsid w:val="006E72C5"/>
    <w:rsid w:val="0073486F"/>
    <w:rsid w:val="007351F3"/>
    <w:rsid w:val="0075271A"/>
    <w:rsid w:val="00791FAC"/>
    <w:rsid w:val="007A22D8"/>
    <w:rsid w:val="007A5FB2"/>
    <w:rsid w:val="007B7371"/>
    <w:rsid w:val="007C658F"/>
    <w:rsid w:val="00803987"/>
    <w:rsid w:val="008130A4"/>
    <w:rsid w:val="0082208C"/>
    <w:rsid w:val="00832FCD"/>
    <w:rsid w:val="00842386"/>
    <w:rsid w:val="008601CE"/>
    <w:rsid w:val="0086316D"/>
    <w:rsid w:val="008762EC"/>
    <w:rsid w:val="0088123A"/>
    <w:rsid w:val="00881D73"/>
    <w:rsid w:val="008A37E6"/>
    <w:rsid w:val="008A5CC8"/>
    <w:rsid w:val="008B4F52"/>
    <w:rsid w:val="008C46DA"/>
    <w:rsid w:val="008C54F4"/>
    <w:rsid w:val="008D0574"/>
    <w:rsid w:val="008D238B"/>
    <w:rsid w:val="008D3E23"/>
    <w:rsid w:val="008E237A"/>
    <w:rsid w:val="008F1F66"/>
    <w:rsid w:val="0091547A"/>
    <w:rsid w:val="009324C2"/>
    <w:rsid w:val="009337D1"/>
    <w:rsid w:val="0094745F"/>
    <w:rsid w:val="009546D6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056ED"/>
    <w:rsid w:val="00A177CB"/>
    <w:rsid w:val="00A17CE3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92A50"/>
    <w:rsid w:val="00AB4F11"/>
    <w:rsid w:val="00AE3336"/>
    <w:rsid w:val="00AF2761"/>
    <w:rsid w:val="00B33194"/>
    <w:rsid w:val="00B37C20"/>
    <w:rsid w:val="00B51791"/>
    <w:rsid w:val="00B53151"/>
    <w:rsid w:val="00B6396E"/>
    <w:rsid w:val="00B66529"/>
    <w:rsid w:val="00B71727"/>
    <w:rsid w:val="00B92409"/>
    <w:rsid w:val="00BE3F39"/>
    <w:rsid w:val="00BF64AA"/>
    <w:rsid w:val="00C3411D"/>
    <w:rsid w:val="00C36849"/>
    <w:rsid w:val="00C378DC"/>
    <w:rsid w:val="00C4028E"/>
    <w:rsid w:val="00C424C9"/>
    <w:rsid w:val="00C61C5B"/>
    <w:rsid w:val="00C63297"/>
    <w:rsid w:val="00CB4779"/>
    <w:rsid w:val="00CD2AD2"/>
    <w:rsid w:val="00CF0FA9"/>
    <w:rsid w:val="00CF1927"/>
    <w:rsid w:val="00D04BE0"/>
    <w:rsid w:val="00D05304"/>
    <w:rsid w:val="00D36678"/>
    <w:rsid w:val="00D51936"/>
    <w:rsid w:val="00D531D9"/>
    <w:rsid w:val="00D73757"/>
    <w:rsid w:val="00D80197"/>
    <w:rsid w:val="00D83386"/>
    <w:rsid w:val="00D91C22"/>
    <w:rsid w:val="00DA1CDD"/>
    <w:rsid w:val="00DA30B3"/>
    <w:rsid w:val="00DE2BDF"/>
    <w:rsid w:val="00DE686C"/>
    <w:rsid w:val="00DE7A15"/>
    <w:rsid w:val="00DF6E25"/>
    <w:rsid w:val="00E10105"/>
    <w:rsid w:val="00E369FC"/>
    <w:rsid w:val="00E5192A"/>
    <w:rsid w:val="00E53FB4"/>
    <w:rsid w:val="00E60B38"/>
    <w:rsid w:val="00E62739"/>
    <w:rsid w:val="00E7036A"/>
    <w:rsid w:val="00E813E3"/>
    <w:rsid w:val="00E84BCF"/>
    <w:rsid w:val="00EA39FA"/>
    <w:rsid w:val="00EB5E3A"/>
    <w:rsid w:val="00EC4D95"/>
    <w:rsid w:val="00EC76A1"/>
    <w:rsid w:val="00F35108"/>
    <w:rsid w:val="00F624E7"/>
    <w:rsid w:val="00F75552"/>
    <w:rsid w:val="00F87E5D"/>
    <w:rsid w:val="00FA73D4"/>
    <w:rsid w:val="00FB2E72"/>
    <w:rsid w:val="00FB7DBE"/>
    <w:rsid w:val="00FD6781"/>
    <w:rsid w:val="00FE59B8"/>
    <w:rsid w:val="00FE7E1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0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0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2021-06-11T23:48:00Z</dcterms:created>
  <dcterms:modified xsi:type="dcterms:W3CDTF">2021-06-11T23:48:00Z</dcterms:modified>
</cp:coreProperties>
</file>