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B0272" w14:textId="749F717F" w:rsidR="00672A5C" w:rsidRPr="009F5A72" w:rsidRDefault="00672A5C" w:rsidP="00672A5C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Century Gothic" w:eastAsia="Times New Roman" w:hAnsi="Century Gothic" w:cs="Arial"/>
          <w:b/>
          <w:color w:val="000000"/>
          <w:lang w:eastAsia="es-MX"/>
        </w:rPr>
        <w:t>E</w:t>
      </w:r>
      <w:r w:rsidRPr="00FA6AC0">
        <w:rPr>
          <w:rFonts w:ascii="Century Gothic" w:eastAsia="Times New Roman" w:hAnsi="Century Gothic" w:cs="Arial"/>
          <w:b/>
          <w:color w:val="000000"/>
          <w:lang w:eastAsia="es-MX"/>
        </w:rPr>
        <w:t>SCUELA NORMAL DE EDUCACIÓN PREESCOLAR</w:t>
      </w:r>
    </w:p>
    <w:p w14:paraId="7FB98D00" w14:textId="77777777" w:rsidR="00672A5C" w:rsidRPr="00FA6AC0" w:rsidRDefault="00672A5C" w:rsidP="00672A5C">
      <w:pPr>
        <w:jc w:val="center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b/>
          <w:color w:val="000000"/>
          <w:lang w:eastAsia="es-MX"/>
        </w:rPr>
        <w:t>CICLO ESCOLAR 2020-2021</w:t>
      </w:r>
    </w:p>
    <w:p w14:paraId="0C63450B" w14:textId="77777777" w:rsidR="00672A5C" w:rsidRPr="00FA6AC0" w:rsidRDefault="00672A5C" w:rsidP="00672A5C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DDCC356" wp14:editId="39CA16F9">
            <wp:simplePos x="0" y="0"/>
            <wp:positionH relativeFrom="margin">
              <wp:posOffset>1679575</wp:posOffset>
            </wp:positionH>
            <wp:positionV relativeFrom="page">
              <wp:posOffset>1500071</wp:posOffset>
            </wp:positionV>
            <wp:extent cx="2172240" cy="1615155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40" cy="161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C7D34" w14:textId="77777777" w:rsidR="00672A5C" w:rsidRPr="00FA6AC0" w:rsidRDefault="00672A5C" w:rsidP="00672A5C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123C154D" w14:textId="77777777" w:rsidR="00672A5C" w:rsidRPr="00FA6AC0" w:rsidRDefault="00672A5C" w:rsidP="00672A5C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646B2AA7" w14:textId="77777777" w:rsidR="00672A5C" w:rsidRPr="00FA6AC0" w:rsidRDefault="00672A5C" w:rsidP="00672A5C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color w:val="000000"/>
          <w:lang w:eastAsia="es-MX"/>
        </w:rPr>
      </w:pPr>
    </w:p>
    <w:p w14:paraId="7E503CBA" w14:textId="77777777" w:rsidR="00672A5C" w:rsidRPr="00FA6AC0" w:rsidRDefault="00672A5C" w:rsidP="00672A5C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Curso: Desarrollo de la Competencia Lectoral</w:t>
      </w:r>
    </w:p>
    <w:p w14:paraId="6736B9A2" w14:textId="77777777" w:rsidR="00672A5C" w:rsidRPr="00FA6AC0" w:rsidRDefault="00672A5C" w:rsidP="00672A5C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Docente: Humberto Valdez Sánchez</w:t>
      </w:r>
    </w:p>
    <w:p w14:paraId="397C64AD" w14:textId="77777777" w:rsidR="00672A5C" w:rsidRPr="00FA6AC0" w:rsidRDefault="00672A5C" w:rsidP="00672A5C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Alumna: Mary Carmen Gonzalez Palomares #8</w:t>
      </w:r>
    </w:p>
    <w:p w14:paraId="742F1F1B" w14:textId="77777777" w:rsidR="00672A5C" w:rsidRDefault="00672A5C" w:rsidP="00672A5C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lang w:eastAsia="es-MX"/>
        </w:rPr>
      </w:pPr>
    </w:p>
    <w:p w14:paraId="190ED8B0" w14:textId="511EC735" w:rsidR="00672A5C" w:rsidRPr="00672A5C" w:rsidRDefault="00672A5C" w:rsidP="00672A5C">
      <w:pPr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u w:val="single"/>
          <w:lang w:eastAsia="es-MX"/>
        </w:rPr>
      </w:pPr>
      <w:r w:rsidRPr="00672A5C">
        <w:rPr>
          <w:rFonts w:ascii="Century Gothic" w:eastAsia="Times New Roman" w:hAnsi="Century Gothic" w:cs="Arial"/>
          <w:b/>
          <w:bCs/>
          <w:color w:val="000000"/>
          <w:sz w:val="28"/>
          <w:szCs w:val="28"/>
          <w:u w:val="single"/>
          <w:lang w:eastAsia="es-MX"/>
        </w:rPr>
        <w:t>LA</w:t>
      </w:r>
      <w:r w:rsidRPr="00672A5C">
        <w:rPr>
          <w:rFonts w:ascii="Century Gothic" w:eastAsia="Times New Roman" w:hAnsi="Century Gothic" w:cs="Arial"/>
          <w:b/>
          <w:bCs/>
          <w:color w:val="000000"/>
          <w:sz w:val="28"/>
          <w:szCs w:val="28"/>
          <w:u w:val="single"/>
          <w:lang w:eastAsia="es-MX"/>
        </w:rPr>
        <w:t>S ESTRATEGIAS LECTORAS</w:t>
      </w:r>
    </w:p>
    <w:p w14:paraId="699B9CDF" w14:textId="77777777" w:rsidR="00672A5C" w:rsidRPr="00FA6AC0" w:rsidRDefault="00672A5C" w:rsidP="00672A5C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 xml:space="preserve">Unidad III. Condiciones necesarias en las situaciones didácticas de la lectura  </w:t>
      </w:r>
    </w:p>
    <w:p w14:paraId="11DDF50D" w14:textId="77777777" w:rsidR="00672A5C" w:rsidRPr="00FA6AC0" w:rsidRDefault="00672A5C" w:rsidP="00672A5C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Competencias:</w:t>
      </w:r>
    </w:p>
    <w:p w14:paraId="0B0EA5A1" w14:textId="77777777" w:rsidR="00672A5C" w:rsidRPr="00FA6AC0" w:rsidRDefault="00672A5C" w:rsidP="00672A5C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sym w:font="Avenir Next LT Pro" w:char="F076"/>
      </w:r>
      <w:r w:rsidRPr="00FA6AC0">
        <w:rPr>
          <w:rFonts w:ascii="Century Gothic" w:hAnsi="Century Gothic"/>
          <w:color w:val="000000"/>
        </w:rPr>
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BF4C3EA" w14:textId="77777777" w:rsidR="00672A5C" w:rsidRPr="00FA6AC0" w:rsidRDefault="00672A5C" w:rsidP="00672A5C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sym w:font="Avenir Next LT Pro" w:char="F076"/>
      </w:r>
      <w:r w:rsidRPr="00FA6AC0">
        <w:rPr>
          <w:rFonts w:ascii="Century Gothic" w:eastAsia="Times New Roman" w:hAnsi="Century Gothic" w:cs="Arial"/>
          <w:color w:val="000000"/>
          <w:lang w:eastAsia="es-MX"/>
        </w:rPr>
        <w:tab/>
        <w:t>Aplica el plan y programas de estudio para alcanzar los propósitos educativos y contribuir al pleno desenvolvimiento de las capacidades de sus alumnos</w:t>
      </w:r>
    </w:p>
    <w:p w14:paraId="6ADB2821" w14:textId="77777777" w:rsidR="00672A5C" w:rsidRDefault="00672A5C" w:rsidP="00672A5C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080CCB37" w14:textId="24CD163F" w:rsidR="00672A5C" w:rsidRPr="009F5A72" w:rsidRDefault="00672A5C" w:rsidP="00672A5C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Junio 2021</w:t>
      </w:r>
    </w:p>
    <w:p w14:paraId="66B0E8BC" w14:textId="77777777" w:rsidR="00672A5C" w:rsidRDefault="00672A5C" w:rsidP="00672A5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es-MX"/>
        </w:rPr>
      </w:pPr>
    </w:p>
    <w:p w14:paraId="41A8E705" w14:textId="18E00F1F" w:rsidR="00672A5C" w:rsidRPr="00672A5C" w:rsidRDefault="00672A5C" w:rsidP="00672A5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672A5C">
        <w:rPr>
          <w:rFonts w:ascii="Century Gothic" w:eastAsia="Times New Roman" w:hAnsi="Century Gothic" w:cs="Arial"/>
          <w:color w:val="000000"/>
          <w:lang w:eastAsia="es-MX"/>
        </w:rPr>
        <w:lastRenderedPageBreak/>
        <w:t>L</w:t>
      </w:r>
      <w:r w:rsidRPr="00672A5C">
        <w:rPr>
          <w:rFonts w:ascii="Century Gothic" w:eastAsia="Times New Roman" w:hAnsi="Century Gothic" w:cs="Arial"/>
          <w:color w:val="000000"/>
          <w:lang w:eastAsia="es-MX"/>
        </w:rPr>
        <w:t>AS ESTRATEGIAS LECTORAS</w:t>
      </w:r>
    </w:p>
    <w:p w14:paraId="07B38988" w14:textId="77777777" w:rsidR="00672A5C" w:rsidRPr="00672A5C" w:rsidRDefault="00672A5C" w:rsidP="00672A5C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672A5C">
        <w:rPr>
          <w:rFonts w:ascii="Century Gothic" w:eastAsia="Times New Roman" w:hAnsi="Century Gothic" w:cs="Times New Roman"/>
          <w:color w:val="000000"/>
          <w:lang w:eastAsia="es-MX"/>
        </w:rPr>
        <w:t>·</w:t>
      </w:r>
      <w:r w:rsidRPr="00672A5C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672A5C">
        <w:rPr>
          <w:rFonts w:ascii="Century Gothic" w:eastAsia="Times New Roman" w:hAnsi="Century Gothic" w:cs="Arial"/>
          <w:color w:val="000000"/>
          <w:lang w:eastAsia="es-MX"/>
        </w:rPr>
        <w:t>¿Qué son las estrategias lectoras?</w:t>
      </w:r>
    </w:p>
    <w:p w14:paraId="0DAFCA4D" w14:textId="77777777" w:rsidR="00672A5C" w:rsidRPr="00672A5C" w:rsidRDefault="00672A5C" w:rsidP="00672A5C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672A5C">
        <w:rPr>
          <w:rFonts w:ascii="Century Gothic" w:eastAsia="Times New Roman" w:hAnsi="Century Gothic" w:cs="Times New Roman"/>
          <w:color w:val="000000"/>
          <w:lang w:eastAsia="es-MX"/>
        </w:rPr>
        <w:t>·</w:t>
      </w:r>
      <w:r w:rsidRPr="00672A5C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672A5C">
        <w:rPr>
          <w:rFonts w:ascii="Century Gothic" w:eastAsia="Times New Roman" w:hAnsi="Century Gothic" w:cs="Arial"/>
          <w:color w:val="000000"/>
          <w:lang w:eastAsia="es-MX"/>
        </w:rPr>
        <w:t>¿Cuáles son las estrategias lectoras?</w:t>
      </w:r>
    </w:p>
    <w:p w14:paraId="2BF09FAD" w14:textId="77777777" w:rsidR="00672A5C" w:rsidRPr="00672A5C" w:rsidRDefault="00672A5C" w:rsidP="00672A5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672A5C">
        <w:rPr>
          <w:rFonts w:ascii="Century Gothic" w:eastAsia="Times New Roman" w:hAnsi="Century Gothic" w:cs="Arial"/>
          <w:color w:val="000000"/>
          <w:lang w:eastAsia="es-MX"/>
        </w:rPr>
        <w:t> </w:t>
      </w:r>
    </w:p>
    <w:p w14:paraId="492A7010" w14:textId="77777777" w:rsidR="00672A5C" w:rsidRPr="00672A5C" w:rsidRDefault="00672A5C" w:rsidP="00672A5C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color w:val="000000"/>
          <w:lang w:eastAsia="es-MX"/>
        </w:rPr>
      </w:pPr>
      <w:r w:rsidRPr="00672A5C">
        <w:rPr>
          <w:rFonts w:ascii="Century Gothic" w:eastAsia="Times New Roman" w:hAnsi="Century Gothic" w:cs="Arial"/>
          <w:color w:val="000000"/>
          <w:lang w:eastAsia="es-MX"/>
        </w:rPr>
        <w:t>Al terminar responde o complementa, en la misma antología, los siguientes cuestionamientos:</w:t>
      </w:r>
    </w:p>
    <w:p w14:paraId="7C19E2D6" w14:textId="49079239" w:rsidR="00672A5C" w:rsidRPr="00672A5C" w:rsidRDefault="00672A5C" w:rsidP="00672A5C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/>
          <w:lang w:eastAsia="es-MX"/>
        </w:rPr>
      </w:pPr>
      <w:r w:rsidRPr="00672A5C">
        <w:rPr>
          <w:rFonts w:ascii="Century Gothic" w:eastAsia="Times New Roman" w:hAnsi="Century Gothic" w:cs="Arial"/>
          <w:color w:val="000000"/>
          <w:lang w:eastAsia="es-MX"/>
        </w:rPr>
        <w:t>1</w:t>
      </w:r>
      <w:r w:rsidRPr="00672A5C">
        <w:rPr>
          <w:rFonts w:ascii="Century Gothic" w:eastAsia="Times New Roman" w:hAnsi="Century Gothic" w:cs="Arial"/>
          <w:b/>
          <w:bCs/>
          <w:color w:val="000000"/>
          <w:lang w:eastAsia="es-MX"/>
        </w:rPr>
        <w:t>.- Las estrategias lectoras son…</w:t>
      </w:r>
      <w:r w:rsidR="00DB6D2A">
        <w:rPr>
          <w:rFonts w:ascii="Century Gothic" w:eastAsia="Times New Roman" w:hAnsi="Century Gothic" w:cs="Arial"/>
          <w:color w:val="000000"/>
          <w:lang w:eastAsia="es-MX"/>
        </w:rPr>
        <w:t xml:space="preserve"> los procesos mentales que realizar el lector para comprender. Son como herramientas que le permiten construir </w:t>
      </w:r>
      <w:r w:rsidR="00D60B5C">
        <w:rPr>
          <w:rFonts w:ascii="Century Gothic" w:eastAsia="Times New Roman" w:hAnsi="Century Gothic" w:cs="Arial"/>
          <w:color w:val="000000"/>
          <w:lang w:eastAsia="es-MX"/>
        </w:rPr>
        <w:t xml:space="preserve">el significado de lo que lee, formas de trabajar con el texto que hacen que pueda interactuar con él </w:t>
      </w:r>
    </w:p>
    <w:p w14:paraId="08202175" w14:textId="42817DD5" w:rsidR="00672A5C" w:rsidRDefault="00672A5C" w:rsidP="00672A5C">
      <w:pPr>
        <w:spacing w:before="100" w:beforeAutospacing="1" w:after="100" w:afterAutospacing="1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  <w:r w:rsidRPr="00672A5C">
        <w:rPr>
          <w:rFonts w:ascii="Century Gothic" w:eastAsia="Times New Roman" w:hAnsi="Century Gothic" w:cs="Arial"/>
          <w:b/>
          <w:bCs/>
          <w:color w:val="000000"/>
          <w:lang w:eastAsia="es-MX"/>
        </w:rPr>
        <w:t>2.- Leer requiere muchas y variadas estrategias que se adquieren progresivamente y con la práctica. Describe cada una de ellas y lo que permite a los lectores.</w:t>
      </w:r>
    </w:p>
    <w:p w14:paraId="527B3BA2" w14:textId="790BB8E3" w:rsidR="00D60B5C" w:rsidRPr="00D60B5C" w:rsidRDefault="00D60B5C" w:rsidP="00D60B5C">
      <w:pPr>
        <w:pStyle w:val="Prrafodelista"/>
        <w:numPr>
          <w:ilvl w:val="0"/>
          <w:numId w:val="2"/>
        </w:numPr>
        <w:rPr>
          <w:rFonts w:ascii="Century Gothic" w:hAnsi="Century Gothic"/>
          <w:i/>
          <w:iCs/>
          <w:color w:val="000000"/>
        </w:rPr>
      </w:pPr>
      <w:r w:rsidRPr="00A13349">
        <w:rPr>
          <w:rFonts w:ascii="Century Gothic" w:hAnsi="Century Gothic"/>
          <w:b/>
          <w:bCs/>
          <w:i/>
          <w:iCs/>
          <w:color w:val="10CF9B" w:themeColor="accent4"/>
        </w:rPr>
        <w:t>Predecir</w:t>
      </w:r>
      <w:r w:rsidRPr="00A13349">
        <w:rPr>
          <w:rFonts w:ascii="Century Gothic" w:hAnsi="Century Gothic"/>
          <w:i/>
          <w:iCs/>
          <w:color w:val="10CF9B" w:themeColor="accent4"/>
        </w:rPr>
        <w:t>:</w:t>
      </w:r>
      <w:r w:rsidRPr="00A13349">
        <w:rPr>
          <w:rFonts w:ascii="Century Gothic" w:hAnsi="Century Gothic"/>
          <w:color w:val="10CF9B" w:themeColor="accent4"/>
        </w:rPr>
        <w:t xml:space="preserve"> </w:t>
      </w:r>
      <w:r>
        <w:rPr>
          <w:rFonts w:ascii="Century Gothic" w:hAnsi="Century Gothic"/>
          <w:color w:val="000000"/>
        </w:rPr>
        <w:t xml:space="preserve">es la capacidad de decir lo que va a pasar de manera anticipada. </w:t>
      </w:r>
      <w:r w:rsidRPr="00A13349">
        <w:rPr>
          <w:rFonts w:ascii="Century Gothic" w:hAnsi="Century Gothic"/>
          <w:i/>
          <w:iCs/>
          <w:color w:val="009DD9" w:themeColor="accent2"/>
          <w:u w:val="single"/>
        </w:rPr>
        <w:t>Permite</w:t>
      </w:r>
      <w:r w:rsidRPr="00D60B5C">
        <w:rPr>
          <w:rFonts w:ascii="Century Gothic" w:hAnsi="Century Gothic"/>
          <w:i/>
          <w:iCs/>
          <w:color w:val="000000"/>
        </w:rPr>
        <w:t xml:space="preserve"> </w:t>
      </w:r>
      <w:r w:rsidRPr="00D60B5C">
        <w:rPr>
          <w:rFonts w:ascii="Century Gothic" w:hAnsi="Century Gothic"/>
          <w:color w:val="000000"/>
        </w:rPr>
        <w:t>que los estudiantes conecten sus conocimientos previos con lo que están leyendo</w:t>
      </w:r>
    </w:p>
    <w:p w14:paraId="51C0D1E0" w14:textId="49EEAA91" w:rsidR="00D60B5C" w:rsidRPr="00A13349" w:rsidRDefault="00A13349" w:rsidP="00D60B5C">
      <w:pPr>
        <w:pStyle w:val="Prrafodelista"/>
        <w:numPr>
          <w:ilvl w:val="0"/>
          <w:numId w:val="2"/>
        </w:numPr>
        <w:rPr>
          <w:rFonts w:ascii="Century Gothic" w:hAnsi="Century Gothic"/>
          <w:i/>
          <w:iCs/>
          <w:color w:val="000000"/>
        </w:rPr>
      </w:pPr>
      <w:r w:rsidRPr="00A13349">
        <w:rPr>
          <w:rFonts w:ascii="Century Gothic" w:hAnsi="Century Gothic"/>
          <w:b/>
          <w:bCs/>
          <w:i/>
          <w:iCs/>
          <w:color w:val="10CF9B" w:themeColor="accent4"/>
        </w:rPr>
        <w:t>Describir</w:t>
      </w:r>
      <w:r w:rsidRPr="00A13349">
        <w:rPr>
          <w:rFonts w:ascii="Century Gothic" w:hAnsi="Century Gothic"/>
          <w:b/>
          <w:bCs/>
          <w:i/>
          <w:iCs/>
          <w:color w:val="000000"/>
        </w:rPr>
        <w:t>:</w:t>
      </w:r>
      <w:r>
        <w:rPr>
          <w:rFonts w:ascii="Century Gothic" w:hAnsi="Century Gothic"/>
          <w:i/>
          <w:iCs/>
          <w:color w:val="000000"/>
        </w:rPr>
        <w:t xml:space="preserve"> </w:t>
      </w:r>
      <w:r>
        <w:rPr>
          <w:rFonts w:ascii="Century Gothic" w:hAnsi="Century Gothic"/>
          <w:color w:val="000000"/>
        </w:rPr>
        <w:t xml:space="preserve">es la capacidad de definir las caracteristicas de algo o alguien, es explicar de forma detallada cómo son las personas, los lugares, los objetos, etc.. </w:t>
      </w:r>
      <w:r w:rsidRPr="00A13349">
        <w:rPr>
          <w:rFonts w:ascii="Century Gothic" w:hAnsi="Century Gothic"/>
          <w:i/>
          <w:iCs/>
          <w:color w:val="009DD9" w:themeColor="accent2"/>
          <w:u w:val="single"/>
        </w:rPr>
        <w:t>Permite</w:t>
      </w:r>
      <w:r w:rsidRPr="00A13349">
        <w:rPr>
          <w:rFonts w:ascii="Century Gothic" w:hAnsi="Century Gothic"/>
          <w:color w:val="009DD9" w:themeColor="accent2"/>
        </w:rPr>
        <w:t xml:space="preserve"> </w:t>
      </w:r>
      <w:r>
        <w:rPr>
          <w:rFonts w:ascii="Century Gothic" w:hAnsi="Century Gothic"/>
          <w:color w:val="000000"/>
        </w:rPr>
        <w:t xml:space="preserve">formarse imágenes mentales de lo que se está leyendo y dirigir la atención del lector hacia detalles importantes </w:t>
      </w:r>
    </w:p>
    <w:p w14:paraId="64125A7C" w14:textId="4B505DEA" w:rsidR="00A13349" w:rsidRPr="00A13349" w:rsidRDefault="00A13349" w:rsidP="00D60B5C">
      <w:pPr>
        <w:pStyle w:val="Prrafodelista"/>
        <w:numPr>
          <w:ilvl w:val="0"/>
          <w:numId w:val="2"/>
        </w:numPr>
        <w:rPr>
          <w:rFonts w:ascii="Century Gothic" w:hAnsi="Century Gothic"/>
          <w:i/>
          <w:iCs/>
          <w:color w:val="009DD9" w:themeColor="accent2"/>
          <w:u w:val="single"/>
        </w:rPr>
      </w:pPr>
      <w:r w:rsidRPr="00A13349">
        <w:rPr>
          <w:rFonts w:ascii="Century Gothic" w:hAnsi="Century Gothic"/>
          <w:b/>
          <w:bCs/>
          <w:i/>
          <w:iCs/>
          <w:color w:val="10CF9B" w:themeColor="accent4"/>
        </w:rPr>
        <w:t xml:space="preserve">Comparar: </w:t>
      </w:r>
      <w:r w:rsidRPr="00A13349">
        <w:rPr>
          <w:rFonts w:ascii="Century Gothic" w:hAnsi="Century Gothic"/>
          <w:color w:val="000000" w:themeColor="text1"/>
        </w:rPr>
        <w:t>es la capacidad de establecer diferencias y semejanzas</w:t>
      </w:r>
      <w:r>
        <w:rPr>
          <w:rFonts w:ascii="Century Gothic" w:hAnsi="Century Gothic"/>
          <w:color w:val="000000" w:themeColor="text1"/>
        </w:rPr>
        <w:t xml:space="preserve">. </w:t>
      </w:r>
      <w:r w:rsidRPr="00A13349">
        <w:rPr>
          <w:rFonts w:ascii="Century Gothic" w:hAnsi="Century Gothic"/>
          <w:i/>
          <w:iCs/>
          <w:color w:val="009DD9" w:themeColor="accent2"/>
          <w:u w:val="single"/>
        </w:rPr>
        <w:t>Permite</w:t>
      </w:r>
      <w:r>
        <w:rPr>
          <w:rFonts w:ascii="Century Gothic" w:hAnsi="Century Gothic"/>
          <w:i/>
          <w:iCs/>
          <w:color w:val="009DD9" w:themeColor="accent2"/>
          <w:u w:val="single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fijar la atención en dos o más cosas y encontrar en qué se parecen y en qué se diferencian </w:t>
      </w:r>
    </w:p>
    <w:p w14:paraId="652FBD96" w14:textId="40012A5B" w:rsidR="00A13349" w:rsidRPr="00A13349" w:rsidRDefault="00A13349" w:rsidP="00D60B5C">
      <w:pPr>
        <w:pStyle w:val="Prrafodelista"/>
        <w:numPr>
          <w:ilvl w:val="0"/>
          <w:numId w:val="2"/>
        </w:numPr>
        <w:rPr>
          <w:rFonts w:ascii="Century Gothic" w:hAnsi="Century Gothic"/>
          <w:i/>
          <w:iCs/>
          <w:color w:val="009DD9" w:themeColor="accent2"/>
          <w:u w:val="single"/>
        </w:rPr>
      </w:pPr>
      <w:r>
        <w:rPr>
          <w:rFonts w:ascii="Century Gothic" w:hAnsi="Century Gothic"/>
          <w:b/>
          <w:bCs/>
          <w:i/>
          <w:iCs/>
          <w:color w:val="10CF9B" w:themeColor="accent4"/>
        </w:rPr>
        <w:t>Secuencia:</w:t>
      </w:r>
      <w:r>
        <w:rPr>
          <w:rFonts w:ascii="Century Gothic" w:hAnsi="Century Gothic"/>
          <w:i/>
          <w:iCs/>
          <w:color w:val="009DD9" w:themeColor="accent2"/>
          <w:u w:val="single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es la destreza de establecer el orden en que suceden los eventos. </w:t>
      </w:r>
      <w:r w:rsidRPr="00A13349">
        <w:rPr>
          <w:rFonts w:ascii="Century Gothic" w:hAnsi="Century Gothic"/>
          <w:i/>
          <w:iCs/>
          <w:color w:val="009DD9" w:themeColor="accent2"/>
          <w:u w:val="single"/>
        </w:rPr>
        <w:t>Permite</w:t>
      </w:r>
      <w:r>
        <w:rPr>
          <w:rFonts w:ascii="Century Gothic" w:hAnsi="Century Gothic"/>
          <w:i/>
          <w:iCs/>
          <w:color w:val="009DD9" w:themeColor="accent2"/>
          <w:u w:val="single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establecer el orden temporal que deben llevar y no su importancia o jerarquía </w:t>
      </w:r>
    </w:p>
    <w:p w14:paraId="07C2A906" w14:textId="45E39369" w:rsidR="00A13349" w:rsidRPr="00A13349" w:rsidRDefault="00A13349" w:rsidP="00D60B5C">
      <w:pPr>
        <w:pStyle w:val="Prrafodelista"/>
        <w:numPr>
          <w:ilvl w:val="0"/>
          <w:numId w:val="2"/>
        </w:numPr>
        <w:rPr>
          <w:rFonts w:ascii="Century Gothic" w:hAnsi="Century Gothic"/>
          <w:i/>
          <w:iCs/>
          <w:color w:val="009DD9" w:themeColor="accent2"/>
          <w:u w:val="single"/>
        </w:rPr>
      </w:pPr>
      <w:r>
        <w:rPr>
          <w:rFonts w:ascii="Century Gothic" w:hAnsi="Century Gothic"/>
          <w:b/>
          <w:bCs/>
          <w:i/>
          <w:iCs/>
          <w:color w:val="10CF9B" w:themeColor="accent4"/>
        </w:rPr>
        <w:t>Identificar causa y efecto:</w:t>
      </w:r>
      <w:r>
        <w:rPr>
          <w:rFonts w:ascii="Century Gothic" w:hAnsi="Century Gothic"/>
          <w:i/>
          <w:iCs/>
          <w:color w:val="009DD9" w:themeColor="accent2"/>
          <w:u w:val="single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capacidad de identificar por qué ocurre algo y su consecuencia o efecto. </w:t>
      </w:r>
      <w:r w:rsidRPr="00A13349">
        <w:rPr>
          <w:rFonts w:ascii="Century Gothic" w:hAnsi="Century Gothic"/>
          <w:i/>
          <w:iCs/>
          <w:color w:val="009DD9" w:themeColor="accent2"/>
          <w:u w:val="single"/>
        </w:rPr>
        <w:t>Permite</w:t>
      </w:r>
      <w:r>
        <w:rPr>
          <w:rFonts w:ascii="Century Gothic" w:hAnsi="Century Gothic"/>
          <w:color w:val="000000" w:themeColor="text1"/>
        </w:rPr>
        <w:t xml:space="preserve"> identificar qué y por qué ocurrió </w:t>
      </w:r>
    </w:p>
    <w:p w14:paraId="469B0F1E" w14:textId="6B76FA90" w:rsidR="00A13349" w:rsidRDefault="00A13349" w:rsidP="00D60B5C">
      <w:pPr>
        <w:pStyle w:val="Prrafodelista"/>
        <w:numPr>
          <w:ilvl w:val="0"/>
          <w:numId w:val="2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bCs/>
          <w:i/>
          <w:iCs/>
          <w:color w:val="10CF9B" w:themeColor="accent4"/>
        </w:rPr>
        <w:t>Identificar el tema:</w:t>
      </w:r>
      <w:r>
        <w:rPr>
          <w:rFonts w:ascii="Century Gothic" w:hAnsi="Century Gothic"/>
          <w:i/>
          <w:iCs/>
          <w:color w:val="009DD9" w:themeColor="accent2"/>
          <w:u w:val="single"/>
        </w:rPr>
        <w:t xml:space="preserve"> </w:t>
      </w:r>
      <w:r>
        <w:rPr>
          <w:rFonts w:ascii="Century Gothic" w:hAnsi="Century Gothic"/>
          <w:color w:val="000000" w:themeColor="text1"/>
        </w:rPr>
        <w:t>es la capacidad de identificar el tema de una lectura o párrafo</w:t>
      </w:r>
      <w:r w:rsidR="001863F9">
        <w:rPr>
          <w:rFonts w:ascii="Century Gothic" w:hAnsi="Century Gothic"/>
          <w:color w:val="000000" w:themeColor="text1"/>
        </w:rPr>
        <w:t xml:space="preserve">, es decir, saber de qué trata. </w:t>
      </w:r>
      <w:r w:rsidR="001863F9" w:rsidRPr="001863F9">
        <w:rPr>
          <w:rFonts w:ascii="Century Gothic" w:hAnsi="Century Gothic"/>
          <w:i/>
          <w:iCs/>
          <w:color w:val="009DD9" w:themeColor="accent2"/>
          <w:u w:val="single"/>
        </w:rPr>
        <w:t>Permite</w:t>
      </w:r>
      <w:r w:rsidR="001863F9">
        <w:rPr>
          <w:rFonts w:ascii="Century Gothic" w:hAnsi="Century Gothic"/>
          <w:i/>
          <w:iCs/>
          <w:color w:val="009DD9" w:themeColor="accent2"/>
          <w:u w:val="single"/>
        </w:rPr>
        <w:t xml:space="preserve"> </w:t>
      </w:r>
      <w:r w:rsidR="001863F9" w:rsidRPr="001863F9">
        <w:rPr>
          <w:rFonts w:ascii="Century Gothic" w:hAnsi="Century Gothic"/>
          <w:color w:val="000000" w:themeColor="text1"/>
        </w:rPr>
        <w:t xml:space="preserve">descubrir lo que tienen en común todas o la mayoría de oraciones </w:t>
      </w:r>
    </w:p>
    <w:p w14:paraId="4E7750A3" w14:textId="0BD30219" w:rsidR="001863F9" w:rsidRDefault="001863F9" w:rsidP="00D60B5C">
      <w:pPr>
        <w:pStyle w:val="Prrafodelista"/>
        <w:numPr>
          <w:ilvl w:val="0"/>
          <w:numId w:val="2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bCs/>
          <w:i/>
          <w:iCs/>
          <w:color w:val="10CF9B" w:themeColor="accent4"/>
        </w:rPr>
        <w:t>Entender palabras nuevas:</w:t>
      </w:r>
      <w:r>
        <w:rPr>
          <w:rFonts w:ascii="Century Gothic" w:hAnsi="Century Gothic"/>
          <w:color w:val="000000" w:themeColor="text1"/>
        </w:rPr>
        <w:t xml:space="preserve"> esta relacionada con el vocabulario y determina fuertemente las posibilidades de comprensión de los estudiantes.</w:t>
      </w:r>
      <w:r w:rsidRPr="001863F9">
        <w:rPr>
          <w:rFonts w:ascii="Century Gothic" w:hAnsi="Century Gothic"/>
          <w:i/>
          <w:iCs/>
          <w:color w:val="009DD9" w:themeColor="accent2"/>
          <w:u w:val="single"/>
        </w:rPr>
        <w:t xml:space="preserve"> Permite</w:t>
      </w:r>
      <w:r>
        <w:rPr>
          <w:rFonts w:ascii="Century Gothic" w:hAnsi="Century Gothic"/>
          <w:i/>
          <w:iCs/>
          <w:color w:val="009DD9" w:themeColor="accent2"/>
          <w:u w:val="single"/>
        </w:rPr>
        <w:t xml:space="preserve"> </w:t>
      </w:r>
      <w:r>
        <w:rPr>
          <w:rFonts w:ascii="Century Gothic" w:hAnsi="Century Gothic"/>
          <w:color w:val="000000" w:themeColor="text1"/>
        </w:rPr>
        <w:t xml:space="preserve">a los estudiantes a encontrar el significado de las palabras nuevas y a utilizarlo en oraciones, textos, resúmenes, argumentos, etc. </w:t>
      </w:r>
    </w:p>
    <w:p w14:paraId="39043F11" w14:textId="54BE7E12" w:rsidR="001863F9" w:rsidRPr="001863F9" w:rsidRDefault="001863F9" w:rsidP="00D60B5C">
      <w:pPr>
        <w:pStyle w:val="Prrafodelista"/>
        <w:numPr>
          <w:ilvl w:val="0"/>
          <w:numId w:val="2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bCs/>
          <w:i/>
          <w:iCs/>
          <w:color w:val="10CF9B" w:themeColor="accent4"/>
        </w:rPr>
        <w:lastRenderedPageBreak/>
        <w:t xml:space="preserve">Expresión de opinión: </w:t>
      </w:r>
      <w:r>
        <w:rPr>
          <w:rFonts w:ascii="Century Gothic" w:hAnsi="Century Gothic"/>
          <w:color w:val="000000" w:themeColor="text1"/>
        </w:rPr>
        <w:t xml:space="preserve">consiste en saber comunicar lo que se piensa y siente en lación al contenido del texto y hacer valoraciones respecto a lo leído. </w:t>
      </w:r>
      <w:r w:rsidRPr="001863F9">
        <w:rPr>
          <w:rFonts w:ascii="Century Gothic" w:hAnsi="Century Gothic"/>
          <w:i/>
          <w:iCs/>
          <w:color w:val="009DD9" w:themeColor="accent2"/>
          <w:u w:val="single"/>
        </w:rPr>
        <w:t xml:space="preserve">Permite </w:t>
      </w:r>
      <w:r>
        <w:rPr>
          <w:rFonts w:ascii="Century Gothic" w:hAnsi="Century Gothic"/>
          <w:color w:val="000000" w:themeColor="text1"/>
        </w:rPr>
        <w:t>a las personas ser lectores activos que se cuestionen acerca de lo que leen y expresan sus acuerdos y desacuerdos</w:t>
      </w:r>
    </w:p>
    <w:p w14:paraId="4A82164B" w14:textId="77777777" w:rsidR="003219A0" w:rsidRPr="00A13349" w:rsidRDefault="003219A0">
      <w:pPr>
        <w:rPr>
          <w:rFonts w:ascii="Century Gothic" w:hAnsi="Century Gothic"/>
          <w:color w:val="000000" w:themeColor="text1"/>
        </w:rPr>
      </w:pPr>
    </w:p>
    <w:sectPr w:rsidR="003219A0" w:rsidRPr="00A13349" w:rsidSect="00672A5C">
      <w:pgSz w:w="12240" w:h="15840"/>
      <w:pgMar w:top="1417" w:right="1701" w:bottom="1417" w:left="1701" w:header="708" w:footer="708" w:gutter="0"/>
      <w:pgBorders w:offsetFrom="page">
        <w:top w:val="thinThickMediumGap" w:sz="24" w:space="24" w:color="0F6FC6" w:themeColor="accent1"/>
        <w:left w:val="thinThickMediumGap" w:sz="24" w:space="24" w:color="0F6FC6" w:themeColor="accent1"/>
        <w:bottom w:val="thickThinMediumGap" w:sz="24" w:space="24" w:color="0F6FC6" w:themeColor="accent1"/>
        <w:right w:val="thickThinMediumGap" w:sz="24" w:space="24" w:color="0F6FC6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Arial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10F45"/>
    <w:multiLevelType w:val="hybridMultilevel"/>
    <w:tmpl w:val="FE4E969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C41CD"/>
    <w:multiLevelType w:val="hybridMultilevel"/>
    <w:tmpl w:val="E81E6782"/>
    <w:lvl w:ilvl="0" w:tplc="6122CA72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17406D" w:themeColor="text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5C"/>
    <w:rsid w:val="001863F9"/>
    <w:rsid w:val="003219A0"/>
    <w:rsid w:val="00672A5C"/>
    <w:rsid w:val="00A13349"/>
    <w:rsid w:val="00D60B5C"/>
    <w:rsid w:val="00D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D56C"/>
  <w15:chartTrackingRefBased/>
  <w15:docId w15:val="{5C0BBB39-6F75-7046-AB56-A0DEB45B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A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A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67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1</cp:revision>
  <dcterms:created xsi:type="dcterms:W3CDTF">2021-06-18T22:54:00Z</dcterms:created>
  <dcterms:modified xsi:type="dcterms:W3CDTF">2021-06-18T23:46:00Z</dcterms:modified>
</cp:coreProperties>
</file>