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DBDB" w:themeColor="accent3" w:themeTint="66"/>
  <w:body>
    <w:p w14:paraId="30EEBEC7" w14:textId="05E6ABAB" w:rsidR="00F3404E" w:rsidRPr="00F3404E" w:rsidRDefault="00F3404E" w:rsidP="00F3404E">
      <w:pPr>
        <w:jc w:val="center"/>
        <w:rPr>
          <w:rFonts w:ascii="Century Gothic" w:eastAsia="Calibri" w:hAnsi="Century Gothic" w:cs="Arial"/>
          <w:b/>
          <w:bCs/>
          <w:sz w:val="28"/>
          <w:szCs w:val="28"/>
        </w:rPr>
      </w:pPr>
      <w:r w:rsidRPr="00F3404E">
        <w:rPr>
          <w:rFonts w:ascii="Century Gothic" w:eastAsia="Calibri" w:hAnsi="Century Gothic" w:cs="Arial"/>
          <w:b/>
          <w:bCs/>
          <w:noProof/>
          <w:sz w:val="28"/>
          <w:szCs w:val="28"/>
          <w:lang w:eastAsia="es-MX"/>
        </w:rPr>
        <w:drawing>
          <wp:anchor distT="0" distB="0" distL="114300" distR="114300" simplePos="0" relativeHeight="251659264" behindDoc="0" locked="0" layoutInCell="1" allowOverlap="1" wp14:anchorId="3825BC86" wp14:editId="2B27AFFB">
            <wp:simplePos x="0" y="0"/>
            <wp:positionH relativeFrom="margin">
              <wp:align>left</wp:align>
            </wp:positionH>
            <wp:positionV relativeFrom="paragraph">
              <wp:posOffset>-353872</wp:posOffset>
            </wp:positionV>
            <wp:extent cx="932815" cy="1164590"/>
            <wp:effectExtent l="0" t="0" r="635" b="0"/>
            <wp:wrapThrough wrapText="bothSides">
              <wp:wrapPolygon edited="0">
                <wp:start x="0" y="0"/>
                <wp:lineTo x="0" y="18373"/>
                <wp:lineTo x="6617" y="21200"/>
                <wp:lineTo x="9705" y="21200"/>
                <wp:lineTo x="12351" y="21200"/>
                <wp:lineTo x="14557" y="21200"/>
                <wp:lineTo x="20732" y="18373"/>
                <wp:lineTo x="21174" y="17313"/>
                <wp:lineTo x="211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1164590"/>
                    </a:xfrm>
                    <a:prstGeom prst="rect">
                      <a:avLst/>
                    </a:prstGeom>
                    <a:noFill/>
                  </pic:spPr>
                </pic:pic>
              </a:graphicData>
            </a:graphic>
          </wp:anchor>
        </w:drawing>
      </w:r>
      <w:r w:rsidRPr="00F3404E">
        <w:rPr>
          <w:rFonts w:ascii="Century Gothic" w:eastAsia="Calibri" w:hAnsi="Century Gothic" w:cs="Arial"/>
          <w:b/>
          <w:bCs/>
          <w:sz w:val="28"/>
          <w:szCs w:val="28"/>
        </w:rPr>
        <w:t>Escuela Normal de Educación Preescolar</w:t>
      </w:r>
      <w:r w:rsidR="006152AD">
        <w:rPr>
          <w:rFonts w:ascii="Century Gothic" w:eastAsia="Calibri" w:hAnsi="Century Gothic" w:cs="Arial"/>
          <w:b/>
          <w:bCs/>
          <w:sz w:val="28"/>
          <w:szCs w:val="28"/>
        </w:rPr>
        <w:t xml:space="preserve"> Del Estado de Coahuila de Zaragoza</w:t>
      </w:r>
    </w:p>
    <w:p w14:paraId="52199CB4" w14:textId="77777777" w:rsidR="00F3404E" w:rsidRPr="00F3404E" w:rsidRDefault="00F3404E" w:rsidP="00F3404E">
      <w:pPr>
        <w:jc w:val="center"/>
        <w:rPr>
          <w:rFonts w:ascii="Century Gothic" w:eastAsia="Calibri" w:hAnsi="Century Gothic" w:cs="Arial"/>
          <w:sz w:val="28"/>
          <w:szCs w:val="28"/>
        </w:rPr>
      </w:pPr>
      <w:r w:rsidRPr="00F3404E">
        <w:rPr>
          <w:rFonts w:ascii="Century Gothic" w:eastAsia="Calibri" w:hAnsi="Century Gothic" w:cs="Arial"/>
          <w:sz w:val="28"/>
          <w:szCs w:val="28"/>
        </w:rPr>
        <w:t>Licenciatura en Educación Preescolar</w:t>
      </w:r>
    </w:p>
    <w:p w14:paraId="3B9D7903" w14:textId="77777777" w:rsidR="00F3404E" w:rsidRPr="00F3404E" w:rsidRDefault="00F3404E" w:rsidP="00F3404E">
      <w:pPr>
        <w:jc w:val="center"/>
        <w:rPr>
          <w:rFonts w:ascii="Century Gothic" w:eastAsia="Calibri" w:hAnsi="Century Gothic" w:cs="Arial"/>
          <w:b/>
          <w:bCs/>
          <w:sz w:val="28"/>
          <w:szCs w:val="28"/>
        </w:rPr>
      </w:pPr>
      <w:r w:rsidRPr="00F3404E">
        <w:rPr>
          <w:rFonts w:ascii="Century Gothic" w:eastAsia="Calibri" w:hAnsi="Century Gothic" w:cs="Arial"/>
          <w:b/>
          <w:bCs/>
          <w:sz w:val="28"/>
          <w:szCs w:val="28"/>
        </w:rPr>
        <w:t>Ciclo 2020-2021</w:t>
      </w:r>
    </w:p>
    <w:p w14:paraId="233836D7" w14:textId="77777777" w:rsidR="00F3404E" w:rsidRPr="00F3404E" w:rsidRDefault="00F3404E" w:rsidP="00F3404E">
      <w:pPr>
        <w:jc w:val="center"/>
        <w:rPr>
          <w:rFonts w:ascii="Century Gothic" w:eastAsia="Calibri" w:hAnsi="Century Gothic" w:cs="Arial"/>
          <w:b/>
          <w:bCs/>
          <w:sz w:val="28"/>
          <w:szCs w:val="28"/>
        </w:rPr>
      </w:pPr>
      <w:r w:rsidRPr="00F3404E">
        <w:rPr>
          <w:rFonts w:ascii="Century Gothic" w:eastAsia="Calibri" w:hAnsi="Century Gothic" w:cs="Arial"/>
          <w:b/>
          <w:bCs/>
          <w:sz w:val="28"/>
          <w:szCs w:val="28"/>
        </w:rPr>
        <w:t>Cuarto Semestre</w:t>
      </w:r>
    </w:p>
    <w:p w14:paraId="3E9CAC46" w14:textId="77777777" w:rsidR="00F3404E" w:rsidRPr="00F3404E" w:rsidRDefault="00F3404E" w:rsidP="00F3404E">
      <w:pPr>
        <w:jc w:val="center"/>
        <w:rPr>
          <w:rFonts w:ascii="Century Gothic" w:eastAsia="Calibri" w:hAnsi="Century Gothic" w:cs="Arial"/>
          <w:sz w:val="28"/>
          <w:szCs w:val="28"/>
        </w:rPr>
      </w:pPr>
      <w:r w:rsidRPr="00F3404E">
        <w:rPr>
          <w:rFonts w:ascii="Century Gothic" w:eastAsia="Calibri" w:hAnsi="Century Gothic" w:cs="Arial"/>
          <w:b/>
          <w:bCs/>
          <w:sz w:val="28"/>
          <w:szCs w:val="28"/>
        </w:rPr>
        <w:t>Asignatura:</w:t>
      </w:r>
      <w:r w:rsidRPr="00F3404E">
        <w:rPr>
          <w:rFonts w:ascii="Century Gothic" w:eastAsia="Calibri" w:hAnsi="Century Gothic" w:cs="Arial"/>
          <w:sz w:val="28"/>
          <w:szCs w:val="28"/>
        </w:rPr>
        <w:t xml:space="preserve"> Estrategias para la exploración de mundo social</w:t>
      </w:r>
    </w:p>
    <w:p w14:paraId="1B89CEED" w14:textId="77777777" w:rsidR="00F3404E" w:rsidRPr="00F3404E" w:rsidRDefault="00F3404E" w:rsidP="00F3404E">
      <w:pPr>
        <w:jc w:val="center"/>
        <w:rPr>
          <w:rFonts w:ascii="Century Gothic" w:eastAsia="Calibri" w:hAnsi="Century Gothic" w:cs="Arial"/>
          <w:sz w:val="28"/>
          <w:szCs w:val="28"/>
        </w:rPr>
      </w:pPr>
      <w:r w:rsidRPr="00F3404E">
        <w:rPr>
          <w:rFonts w:ascii="Century Gothic" w:eastAsia="Calibri" w:hAnsi="Century Gothic" w:cs="Arial"/>
          <w:b/>
          <w:bCs/>
          <w:sz w:val="28"/>
          <w:szCs w:val="28"/>
        </w:rPr>
        <w:t>Maestro:</w:t>
      </w:r>
      <w:r w:rsidRPr="00F3404E">
        <w:rPr>
          <w:rFonts w:ascii="Century Gothic" w:eastAsia="Calibri" w:hAnsi="Century Gothic" w:cs="Arial"/>
          <w:sz w:val="28"/>
          <w:szCs w:val="28"/>
        </w:rPr>
        <w:t xml:space="preserve"> Roberto Acosta Robles</w:t>
      </w:r>
    </w:p>
    <w:p w14:paraId="10D4173E" w14:textId="53D32099" w:rsidR="00F3404E" w:rsidRDefault="00F3404E" w:rsidP="00F3404E">
      <w:pPr>
        <w:jc w:val="center"/>
        <w:rPr>
          <w:rFonts w:ascii="Century Gothic" w:eastAsia="Calibri" w:hAnsi="Century Gothic" w:cs="Arial"/>
          <w:b/>
          <w:bCs/>
          <w:sz w:val="28"/>
          <w:szCs w:val="28"/>
        </w:rPr>
      </w:pPr>
      <w:r w:rsidRPr="00F3404E">
        <w:rPr>
          <w:rFonts w:ascii="Century Gothic" w:eastAsia="Calibri" w:hAnsi="Century Gothic" w:cs="Arial"/>
          <w:b/>
          <w:bCs/>
          <w:sz w:val="28"/>
          <w:szCs w:val="28"/>
        </w:rPr>
        <w:t>Unidad III. LA COMUNIDAD Y LA PARTICIPACIÓN SOCIAL DE LOS NIÑOS Y NIÑAS DE PREESCOLAR.</w:t>
      </w:r>
    </w:p>
    <w:p w14:paraId="659669F7" w14:textId="78AC1156" w:rsidR="00F3404E" w:rsidRPr="00F3404E" w:rsidRDefault="00F3404E" w:rsidP="00F3404E">
      <w:pPr>
        <w:jc w:val="center"/>
        <w:rPr>
          <w:rFonts w:ascii="Century Gothic" w:eastAsia="Calibri" w:hAnsi="Century Gothic" w:cs="Arial"/>
          <w:b/>
          <w:bCs/>
          <w:sz w:val="28"/>
          <w:szCs w:val="28"/>
        </w:rPr>
      </w:pPr>
      <w:r>
        <w:rPr>
          <w:rFonts w:ascii="Century Gothic" w:eastAsia="Calibri" w:hAnsi="Century Gothic" w:cs="Arial"/>
          <w:b/>
          <w:bCs/>
          <w:sz w:val="28"/>
          <w:szCs w:val="28"/>
        </w:rPr>
        <w:t>Competencias:</w:t>
      </w:r>
    </w:p>
    <w:p w14:paraId="338C6164" w14:textId="77777777" w:rsidR="00F3404E" w:rsidRPr="00F3404E" w:rsidRDefault="00F3404E" w:rsidP="00F3404E">
      <w:pPr>
        <w:pStyle w:val="Prrafodelista"/>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Detecta los procesos de aprendizaje de sus alumnos para favorecer su desarrollo cognitivo y socioemocional.</w:t>
      </w:r>
    </w:p>
    <w:p w14:paraId="2B811830" w14:textId="77777777" w:rsidR="00F3404E" w:rsidRPr="00F3404E" w:rsidRDefault="00F3404E" w:rsidP="00F3404E">
      <w:pPr>
        <w:pStyle w:val="Prrafodelista"/>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Aplica el plan y programas de estudio para alcanzar los propósitos educativos y contribuir al pleno desenvolvimiento de las capacidades de sus alumnos.</w:t>
      </w:r>
    </w:p>
    <w:p w14:paraId="1289C1A2" w14:textId="77777777" w:rsidR="00F3404E" w:rsidRPr="00F3404E" w:rsidRDefault="00F3404E" w:rsidP="00F3404E">
      <w:pPr>
        <w:pStyle w:val="Prrafodelista"/>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9D60F4F" w14:textId="77777777" w:rsidR="00F3404E" w:rsidRPr="00F3404E" w:rsidRDefault="00F3404E" w:rsidP="00F3404E">
      <w:pPr>
        <w:pStyle w:val="Prrafodelista"/>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Emplea la evaluación para intervenir en los diferentes ámbitos y momentos de la tarea educativa para mejorar los aprendizajes de sus alumnos.</w:t>
      </w:r>
    </w:p>
    <w:p w14:paraId="34163107" w14:textId="77777777" w:rsidR="00F3404E" w:rsidRPr="00F3404E" w:rsidRDefault="00F3404E" w:rsidP="00F3404E">
      <w:pPr>
        <w:pStyle w:val="Prrafodelista"/>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Integra recursos de la investigación educativa para enriquecer su práctica profesional, expresando su interés por el conocimiento, la ciencia y la mejora de la educación.</w:t>
      </w:r>
    </w:p>
    <w:p w14:paraId="52639F86" w14:textId="77777777" w:rsidR="00F3404E" w:rsidRPr="00F3404E" w:rsidRDefault="00F3404E" w:rsidP="00F3404E">
      <w:pPr>
        <w:pStyle w:val="Prrafodelista"/>
        <w:numPr>
          <w:ilvl w:val="0"/>
          <w:numId w:val="1"/>
        </w:numPr>
        <w:rPr>
          <w:rFonts w:ascii="Century Gothic" w:eastAsia="Calibri" w:hAnsi="Century Gothic" w:cs="Arial"/>
          <w:sz w:val="24"/>
          <w:szCs w:val="24"/>
        </w:rPr>
      </w:pPr>
      <w:r w:rsidRPr="00F3404E">
        <w:rPr>
          <w:rFonts w:ascii="Century Gothic" w:eastAsia="Calibri" w:hAnsi="Century Gothic" w:cs="Arial"/>
          <w:sz w:val="24"/>
          <w:szCs w:val="24"/>
        </w:rPr>
        <w:t>Actúa de manera ética ante la diversidad de situaciones que se presentan en la práctica profesional.</w:t>
      </w:r>
    </w:p>
    <w:p w14:paraId="52EBCA8B" w14:textId="7F40003F" w:rsidR="00F3404E" w:rsidRPr="00F3404E" w:rsidRDefault="00F3404E" w:rsidP="00F3404E">
      <w:pPr>
        <w:jc w:val="center"/>
        <w:rPr>
          <w:rFonts w:ascii="Century Gothic" w:eastAsia="Calibri" w:hAnsi="Century Gothic" w:cs="Arial"/>
          <w:sz w:val="28"/>
          <w:szCs w:val="28"/>
        </w:rPr>
      </w:pPr>
      <w:r w:rsidRPr="00F3404E">
        <w:rPr>
          <w:rFonts w:ascii="Century Gothic" w:eastAsia="Calibri" w:hAnsi="Century Gothic" w:cs="Arial"/>
          <w:b/>
          <w:bCs/>
          <w:sz w:val="28"/>
          <w:szCs w:val="28"/>
        </w:rPr>
        <w:t xml:space="preserve">Alumna: </w:t>
      </w:r>
      <w:r w:rsidR="006152AD">
        <w:rPr>
          <w:rFonts w:ascii="Century Gothic" w:eastAsia="Calibri" w:hAnsi="Century Gothic" w:cs="Arial"/>
          <w:sz w:val="28"/>
          <w:szCs w:val="28"/>
        </w:rPr>
        <w:t xml:space="preserve">Alicia </w:t>
      </w:r>
      <w:proofErr w:type="spellStart"/>
      <w:r w:rsidR="006152AD">
        <w:rPr>
          <w:rFonts w:ascii="Century Gothic" w:eastAsia="Calibri" w:hAnsi="Century Gothic" w:cs="Arial"/>
          <w:sz w:val="28"/>
          <w:szCs w:val="28"/>
        </w:rPr>
        <w:t>Marifer</w:t>
      </w:r>
      <w:proofErr w:type="spellEnd"/>
      <w:r w:rsidR="006152AD">
        <w:rPr>
          <w:rFonts w:ascii="Century Gothic" w:eastAsia="Calibri" w:hAnsi="Century Gothic" w:cs="Arial"/>
          <w:sz w:val="28"/>
          <w:szCs w:val="28"/>
        </w:rPr>
        <w:t xml:space="preserve"> Herrera Reyna #9</w:t>
      </w:r>
    </w:p>
    <w:p w14:paraId="3AC621CB" w14:textId="4B1DAF4E" w:rsidR="00F3404E" w:rsidRPr="00F3404E" w:rsidRDefault="00F3404E" w:rsidP="00F3404E">
      <w:pPr>
        <w:jc w:val="center"/>
        <w:rPr>
          <w:rFonts w:ascii="Century Gothic" w:eastAsia="Calibri" w:hAnsi="Century Gothic" w:cs="Arial"/>
          <w:sz w:val="28"/>
          <w:szCs w:val="28"/>
        </w:rPr>
      </w:pPr>
      <w:r w:rsidRPr="00F3404E">
        <w:rPr>
          <w:rFonts w:ascii="Century Gothic" w:eastAsia="Calibri" w:hAnsi="Century Gothic" w:cs="Arial"/>
          <w:b/>
          <w:bCs/>
          <w:sz w:val="28"/>
          <w:szCs w:val="28"/>
        </w:rPr>
        <w:t>Trabajo:</w:t>
      </w:r>
      <w:r>
        <w:rPr>
          <w:rFonts w:ascii="Century Gothic" w:eastAsia="Calibri" w:hAnsi="Century Gothic" w:cs="Arial"/>
          <w:b/>
          <w:bCs/>
          <w:sz w:val="28"/>
          <w:szCs w:val="28"/>
        </w:rPr>
        <w:t xml:space="preserve"> </w:t>
      </w:r>
      <w:r w:rsidRPr="00F3404E">
        <w:rPr>
          <w:rFonts w:ascii="Century Gothic" w:eastAsia="Calibri" w:hAnsi="Century Gothic" w:cs="Arial"/>
          <w:sz w:val="28"/>
          <w:szCs w:val="28"/>
        </w:rPr>
        <w:t>La participación de los niños</w:t>
      </w:r>
      <w:r w:rsidRPr="00F3404E">
        <w:rPr>
          <w:rFonts w:ascii="Century Gothic" w:eastAsia="Calibri" w:hAnsi="Century Gothic" w:cs="Arial"/>
          <w:sz w:val="28"/>
          <w:szCs w:val="28"/>
        </w:rPr>
        <w:br/>
      </w:r>
      <w:r w:rsidRPr="00F3404E">
        <w:rPr>
          <w:rFonts w:ascii="Century Gothic" w:eastAsia="Calibri" w:hAnsi="Century Gothic" w:cs="Arial"/>
          <w:b/>
          <w:bCs/>
          <w:sz w:val="28"/>
          <w:szCs w:val="28"/>
        </w:rPr>
        <w:t>2° ¨B¨</w:t>
      </w:r>
    </w:p>
    <w:p w14:paraId="4862E79D" w14:textId="36FB75C9" w:rsidR="00C02267" w:rsidRDefault="00C02267" w:rsidP="006152AD">
      <w:pPr>
        <w:rPr>
          <w:rFonts w:ascii="Century Gothic" w:eastAsia="Calibri" w:hAnsi="Century Gothic" w:cs="Arial"/>
          <w:sz w:val="28"/>
          <w:szCs w:val="28"/>
        </w:rPr>
      </w:pPr>
    </w:p>
    <w:p w14:paraId="67E28133" w14:textId="77777777" w:rsidR="006152AD" w:rsidRDefault="006152AD" w:rsidP="006152AD">
      <w:pPr>
        <w:rPr>
          <w:rFonts w:ascii="Century Gothic" w:eastAsia="Calibri" w:hAnsi="Century Gothic" w:cs="Arial"/>
          <w:sz w:val="28"/>
          <w:szCs w:val="28"/>
        </w:rPr>
      </w:pPr>
    </w:p>
    <w:p w14:paraId="103C6909" w14:textId="591B610B" w:rsidR="00C02267" w:rsidRPr="006152AD" w:rsidRDefault="00C02267" w:rsidP="00F3404E">
      <w:pPr>
        <w:jc w:val="center"/>
        <w:rPr>
          <w:rFonts w:ascii="Arial" w:eastAsia="Calibri" w:hAnsi="Arial" w:cs="Arial"/>
          <w:bCs/>
          <w:sz w:val="36"/>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152AD">
        <w:rPr>
          <w:rFonts w:ascii="Arial" w:eastAsia="Calibri" w:hAnsi="Arial" w:cs="Arial"/>
          <w:bCs/>
          <w:sz w:val="36"/>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La participación de los niños</w:t>
      </w:r>
    </w:p>
    <w:p w14:paraId="1A28AD3B"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El significado de la participación de los niños se usa para referirse a los procesos de compartir decisiones que afectan la vida propia y la vida de la comunidad en la cual se vive. Este es el medio por el cual se construye la democracia ya que la participación es el derecho fundamental de la ciudadanía.</w:t>
      </w:r>
    </w:p>
    <w:p w14:paraId="759A6F0E" w14:textId="36353B75"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Existen defensores de los niños que hablan de ellos como si fueran salvadores de la sociedad, sin embargo muchos expresan que la participación de los niños es ingenua, ya que ellos no tienen el poder de tomar decisiones de adultos, es importante que todos los jóvenes tengan la oportunidad de aprender a participar en programas que beneficien su vida directamente, en especial los niños marginados, ya que ellos aprenderán a luchar contra la discriminación y la represió</w:t>
      </w:r>
      <w:r w:rsidR="006152AD">
        <w:rPr>
          <w:rFonts w:ascii="Arial" w:eastAsia="Calibri" w:hAnsi="Arial" w:cs="Arial"/>
          <w:sz w:val="24"/>
          <w:szCs w:val="24"/>
        </w:rPr>
        <w:t>n y así luchar por sus derechos.</w:t>
      </w:r>
    </w:p>
    <w:p w14:paraId="40A36E50"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La decoración se refiere aquellas ocasiones donde los adultos usan a los niños para fortalecer alguna causa, algún evento o proyecto de manera indirecta. Si el niño es parte de una causa, pero no tiene idea de qué se trata, entonces no existe la posibilidad de participar en la organización del evento.</w:t>
      </w:r>
    </w:p>
    <w:p w14:paraId="58CBC136"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La participación de los niños varía mucho según su nivel de desarrollo. No es necesario que los participen en niveles aún más altos cuando pueden desempeñarse en diferentes grados y es de suma importancia otorgarles papeles importantes para que identifiquen el sentido de pertenencia y se estimule la participación. </w:t>
      </w:r>
    </w:p>
    <w:p w14:paraId="348F724D" w14:textId="086AB014"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El juego es la estrategia clave para fomentar una genuina participación, para que esto funcione, las condiciones en las situaciones didácticas siempre deben ser favorables, ya que una participación tiene como resultados el desarrollo óptimo en los niños, por motivo de que la participación genera confianza en los niños y</w:t>
      </w:r>
      <w:r w:rsidR="006152AD">
        <w:rPr>
          <w:rFonts w:ascii="Arial" w:eastAsia="Calibri" w:hAnsi="Arial" w:cs="Arial"/>
          <w:sz w:val="24"/>
          <w:szCs w:val="24"/>
        </w:rPr>
        <w:t xml:space="preserve"> a su vez una identidad propia</w:t>
      </w:r>
      <w:r w:rsidRPr="007A639D">
        <w:rPr>
          <w:rFonts w:ascii="Arial" w:eastAsia="Calibri" w:hAnsi="Arial" w:cs="Arial"/>
          <w:sz w:val="24"/>
          <w:szCs w:val="24"/>
        </w:rPr>
        <w:t xml:space="preserve">. </w:t>
      </w:r>
    </w:p>
    <w:p w14:paraId="7E20D47A" w14:textId="77777777"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La investigación de acción participativa para recalcar que la investigación y la acción debe ir juntas y ser realizadas por las mismas personas, </w:t>
      </w:r>
      <w:proofErr w:type="gramStart"/>
      <w:r w:rsidRPr="007A639D">
        <w:rPr>
          <w:rFonts w:ascii="Arial" w:eastAsia="Calibri" w:hAnsi="Arial" w:cs="Arial"/>
          <w:sz w:val="24"/>
          <w:szCs w:val="24"/>
        </w:rPr>
        <w:t>los</w:t>
      </w:r>
      <w:proofErr w:type="gramEnd"/>
      <w:r w:rsidRPr="007A639D">
        <w:rPr>
          <w:rFonts w:ascii="Arial" w:eastAsia="Calibri" w:hAnsi="Arial" w:cs="Arial"/>
          <w:sz w:val="24"/>
          <w:szCs w:val="24"/>
        </w:rPr>
        <w:t xml:space="preserve"> principales características son: -La investigación realizada por o con las personas involucradas. </w:t>
      </w:r>
    </w:p>
    <w:p w14:paraId="4C844AB9" w14:textId="52146260" w:rsidR="00C02267" w:rsidRPr="007A639D" w:rsidRDefault="00C02267" w:rsidP="007A639D">
      <w:pPr>
        <w:pStyle w:val="Prrafodelista"/>
        <w:numPr>
          <w:ilvl w:val="0"/>
          <w:numId w:val="2"/>
        </w:numPr>
        <w:spacing w:line="360" w:lineRule="auto"/>
        <w:rPr>
          <w:rFonts w:ascii="Arial" w:eastAsia="Calibri" w:hAnsi="Arial" w:cs="Arial"/>
          <w:sz w:val="24"/>
          <w:szCs w:val="24"/>
        </w:rPr>
      </w:pPr>
      <w:r w:rsidRPr="007A639D">
        <w:rPr>
          <w:rFonts w:ascii="Arial" w:eastAsia="Calibri" w:hAnsi="Arial" w:cs="Arial"/>
          <w:sz w:val="24"/>
          <w:szCs w:val="24"/>
        </w:rPr>
        <w:lastRenderedPageBreak/>
        <w:t xml:space="preserve">El investigador se comprometa con la gente y el control de énfasis por parte de ellos. </w:t>
      </w:r>
    </w:p>
    <w:p w14:paraId="0A338589" w14:textId="393219CB" w:rsidR="00C02267" w:rsidRPr="007A639D" w:rsidRDefault="00C02267" w:rsidP="007A639D">
      <w:pPr>
        <w:pStyle w:val="Prrafodelista"/>
        <w:numPr>
          <w:ilvl w:val="0"/>
          <w:numId w:val="2"/>
        </w:numPr>
        <w:spacing w:line="360" w:lineRule="auto"/>
        <w:rPr>
          <w:rFonts w:ascii="Arial" w:eastAsia="Calibri" w:hAnsi="Arial" w:cs="Arial"/>
          <w:sz w:val="24"/>
          <w:szCs w:val="24"/>
        </w:rPr>
      </w:pPr>
      <w:r w:rsidRPr="007A639D">
        <w:rPr>
          <w:rFonts w:ascii="Arial" w:eastAsia="Calibri" w:hAnsi="Arial" w:cs="Arial"/>
          <w:sz w:val="24"/>
          <w:szCs w:val="24"/>
        </w:rPr>
        <w:t xml:space="preserve">La investigación inicie con un probable concreto identificado por los mismos participantes. </w:t>
      </w:r>
    </w:p>
    <w:p w14:paraId="2A1C4F3E" w14:textId="15354F5B" w:rsidR="00C02267" w:rsidRPr="007A639D" w:rsidRDefault="00C02267" w:rsidP="007A639D">
      <w:pPr>
        <w:pStyle w:val="Prrafodelista"/>
        <w:numPr>
          <w:ilvl w:val="0"/>
          <w:numId w:val="2"/>
        </w:numPr>
        <w:spacing w:line="360" w:lineRule="auto"/>
        <w:rPr>
          <w:rFonts w:ascii="Arial" w:eastAsia="Calibri" w:hAnsi="Arial" w:cs="Arial"/>
          <w:sz w:val="24"/>
          <w:szCs w:val="24"/>
        </w:rPr>
      </w:pPr>
      <w:r w:rsidRPr="007A639D">
        <w:rPr>
          <w:rFonts w:ascii="Arial" w:eastAsia="Calibri" w:hAnsi="Arial" w:cs="Arial"/>
          <w:sz w:val="24"/>
          <w:szCs w:val="24"/>
        </w:rPr>
        <w:t xml:space="preserve">Se investiguen las causas del problema de manera que los participantes mismos puedan enfrentarlas. </w:t>
      </w:r>
    </w:p>
    <w:p w14:paraId="5C98D395" w14:textId="77777777" w:rsidR="006152A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Los niños deben tener oportunidades de jugar juntos, espontáneamente, para que aprendan a cooperar y a construir comunidades por sí mismos. Para el niño el trabajo puede ser participativo y por lo tanto educativo siempre y cuando se complemente con suficiente educación que en el futuro le permita al niño una selección de trabajo que no sea necesariamente explotadora. </w:t>
      </w:r>
    </w:p>
    <w:p w14:paraId="2250A89A" w14:textId="6DF9D018" w:rsidR="00C02267" w:rsidRPr="007A639D" w:rsidRDefault="00C02267" w:rsidP="007A639D">
      <w:pPr>
        <w:spacing w:line="360" w:lineRule="auto"/>
        <w:rPr>
          <w:rFonts w:ascii="Arial" w:eastAsia="Calibri" w:hAnsi="Arial" w:cs="Arial"/>
          <w:sz w:val="24"/>
          <w:szCs w:val="24"/>
        </w:rPr>
      </w:pPr>
      <w:r w:rsidRPr="007A639D">
        <w:rPr>
          <w:rFonts w:ascii="Arial" w:eastAsia="Calibri" w:hAnsi="Arial" w:cs="Arial"/>
          <w:sz w:val="24"/>
          <w:szCs w:val="24"/>
        </w:rPr>
        <w:t xml:space="preserve">Los beneficios de participación: </w:t>
      </w:r>
    </w:p>
    <w:p w14:paraId="0B60EDD8" w14:textId="37EB27D2" w:rsidR="00C02267" w:rsidRPr="007A639D" w:rsidRDefault="00C02267" w:rsidP="007A639D">
      <w:pPr>
        <w:pStyle w:val="Prrafodelista"/>
        <w:numPr>
          <w:ilvl w:val="0"/>
          <w:numId w:val="3"/>
        </w:numPr>
        <w:spacing w:line="360" w:lineRule="auto"/>
        <w:rPr>
          <w:rFonts w:ascii="Arial" w:eastAsia="Calibri" w:hAnsi="Arial" w:cs="Arial"/>
          <w:sz w:val="24"/>
          <w:szCs w:val="24"/>
        </w:rPr>
      </w:pPr>
      <w:r w:rsidRPr="007A639D">
        <w:rPr>
          <w:rFonts w:ascii="Arial" w:eastAsia="Calibri" w:hAnsi="Arial" w:cs="Arial"/>
          <w:sz w:val="24"/>
          <w:szCs w:val="24"/>
        </w:rPr>
        <w:t>Los profesionales dicen frecuentemente que la participación comunitaria retrasa los esfuerzos sociales económicos de las naciones en desarrollo.</w:t>
      </w:r>
    </w:p>
    <w:p w14:paraId="20913F67" w14:textId="77777777" w:rsidR="00C02267" w:rsidRPr="007A639D" w:rsidRDefault="00C02267" w:rsidP="007A639D">
      <w:pPr>
        <w:pStyle w:val="Prrafodelista"/>
        <w:numPr>
          <w:ilvl w:val="0"/>
          <w:numId w:val="3"/>
        </w:numPr>
        <w:spacing w:line="360" w:lineRule="auto"/>
        <w:rPr>
          <w:rFonts w:ascii="Arial" w:eastAsia="Calibri" w:hAnsi="Arial" w:cs="Arial"/>
          <w:sz w:val="24"/>
          <w:szCs w:val="24"/>
        </w:rPr>
      </w:pPr>
      <w:r w:rsidRPr="007A639D">
        <w:rPr>
          <w:rFonts w:ascii="Arial" w:eastAsia="Calibri" w:hAnsi="Arial" w:cs="Arial"/>
          <w:sz w:val="24"/>
          <w:szCs w:val="24"/>
        </w:rPr>
        <w:t>Hay beneficios adicionales y más importantes para una sociedad, más allá de lograr a corto plazo que un producto o programa sea más apropiado para los usuarios.</w:t>
      </w:r>
    </w:p>
    <w:p w14:paraId="7F3A1447" w14:textId="77777777" w:rsidR="00C02267" w:rsidRPr="007A639D" w:rsidRDefault="00C02267" w:rsidP="007A639D">
      <w:pPr>
        <w:pStyle w:val="Prrafodelista"/>
        <w:numPr>
          <w:ilvl w:val="0"/>
          <w:numId w:val="3"/>
        </w:numPr>
        <w:spacing w:line="360" w:lineRule="auto"/>
        <w:rPr>
          <w:rFonts w:ascii="Arial" w:eastAsia="Calibri" w:hAnsi="Arial" w:cs="Arial"/>
          <w:sz w:val="24"/>
          <w:szCs w:val="24"/>
        </w:rPr>
      </w:pPr>
      <w:r w:rsidRPr="007A639D">
        <w:rPr>
          <w:rFonts w:ascii="Arial" w:eastAsia="Calibri" w:hAnsi="Arial" w:cs="Arial"/>
          <w:sz w:val="24"/>
          <w:szCs w:val="24"/>
        </w:rPr>
        <w:t xml:space="preserve">Los argumentos en favor de la participación son particularmente fuertes, ya que el producto final redunda en los beneficios de los mismos participantes. </w:t>
      </w:r>
    </w:p>
    <w:p w14:paraId="78A7BF18" w14:textId="7228DB08" w:rsidR="00C02267" w:rsidRPr="007A639D" w:rsidRDefault="00C02267" w:rsidP="007A639D">
      <w:pPr>
        <w:pStyle w:val="Prrafodelista"/>
        <w:numPr>
          <w:ilvl w:val="0"/>
          <w:numId w:val="3"/>
        </w:numPr>
        <w:spacing w:line="360" w:lineRule="auto"/>
        <w:rPr>
          <w:rFonts w:ascii="Arial" w:eastAsia="Calibri" w:hAnsi="Arial" w:cs="Arial"/>
          <w:sz w:val="24"/>
          <w:szCs w:val="24"/>
        </w:rPr>
      </w:pPr>
      <w:r w:rsidRPr="007A639D">
        <w:rPr>
          <w:rFonts w:ascii="Arial" w:eastAsia="Calibri" w:hAnsi="Arial" w:cs="Arial"/>
          <w:sz w:val="24"/>
          <w:szCs w:val="24"/>
        </w:rPr>
        <w:t>Desafortunadamente estos beneficios tienen un impacto indirecto, a largo plazo y no puede medirse fácilmente de manera cuantitativa.</w:t>
      </w:r>
    </w:p>
    <w:p w14:paraId="12E88955" w14:textId="77777777" w:rsidR="00C02267" w:rsidRPr="00C02267" w:rsidRDefault="00C02267" w:rsidP="00F3404E">
      <w:pPr>
        <w:jc w:val="center"/>
        <w:rPr>
          <w:rFonts w:ascii="Arial" w:eastAsia="Calibri" w:hAnsi="Arial" w:cs="Arial"/>
          <w:sz w:val="28"/>
          <w:szCs w:val="28"/>
        </w:rPr>
      </w:pPr>
    </w:p>
    <w:p w14:paraId="27BA3870" w14:textId="77777777" w:rsidR="0038277C" w:rsidRPr="00F3404E" w:rsidRDefault="0038277C">
      <w:pPr>
        <w:rPr>
          <w:rFonts w:ascii="Century Gothic" w:hAnsi="Century Gothic"/>
          <w:sz w:val="24"/>
          <w:szCs w:val="24"/>
        </w:rPr>
      </w:pPr>
      <w:bookmarkStart w:id="0" w:name="_GoBack"/>
      <w:bookmarkEnd w:id="0"/>
    </w:p>
    <w:sectPr w:rsidR="0038277C" w:rsidRPr="00F3404E" w:rsidSect="006152AD">
      <w:pgSz w:w="12240" w:h="15840"/>
      <w:pgMar w:top="1440" w:right="1440" w:bottom="1440" w:left="1440" w:header="720" w:footer="720"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62979"/>
    <w:multiLevelType w:val="hybridMultilevel"/>
    <w:tmpl w:val="A3A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70342"/>
    <w:multiLevelType w:val="hybridMultilevel"/>
    <w:tmpl w:val="6D84E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4837E9"/>
    <w:multiLevelType w:val="hybridMultilevel"/>
    <w:tmpl w:val="6B922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4E"/>
    <w:rsid w:val="0038277C"/>
    <w:rsid w:val="006152AD"/>
    <w:rsid w:val="007A639D"/>
    <w:rsid w:val="00C02267"/>
    <w:rsid w:val="00D2317E"/>
    <w:rsid w:val="00F3404E"/>
    <w:rsid w:val="00FA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6774"/>
  <w15:chartTrackingRefBased/>
  <w15:docId w15:val="{A16E3D2C-CE56-409B-BD88-04D54884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04E"/>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724</Words>
  <Characters>3986</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Mario Herrera</cp:lastModifiedBy>
  <cp:revision>6</cp:revision>
  <dcterms:created xsi:type="dcterms:W3CDTF">2021-06-10T15:00:00Z</dcterms:created>
  <dcterms:modified xsi:type="dcterms:W3CDTF">2021-06-11T04:02:00Z</dcterms:modified>
</cp:coreProperties>
</file>