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671A" w14:textId="77777777" w:rsidR="006B786D" w:rsidRPr="00AE0F50" w:rsidRDefault="006B786D" w:rsidP="006B786D">
      <w:pPr>
        <w:spacing w:after="0" w:line="240" w:lineRule="auto"/>
        <w:jc w:val="center"/>
        <w:rPr>
          <w:rFonts w:cs="Arial"/>
          <w:sz w:val="28"/>
          <w:szCs w:val="28"/>
        </w:rPr>
      </w:pPr>
      <w:r w:rsidRPr="00AE0F50">
        <w:rPr>
          <w:rFonts w:cs="Arial"/>
          <w:sz w:val="28"/>
          <w:szCs w:val="28"/>
        </w:rPr>
        <w:t>ESCUELA NORMAL DE EDUCACIÓN PREESCOLAR DEL ESTADO DE COAHUILA</w:t>
      </w:r>
    </w:p>
    <w:p w14:paraId="31760559" w14:textId="77777777" w:rsidR="006B786D" w:rsidRPr="00AE0F50" w:rsidRDefault="006B786D" w:rsidP="006B786D">
      <w:pPr>
        <w:spacing w:after="0" w:line="240" w:lineRule="auto"/>
        <w:jc w:val="center"/>
        <w:rPr>
          <w:rFonts w:cs="Arial"/>
          <w:szCs w:val="24"/>
        </w:rPr>
      </w:pPr>
      <w:r w:rsidRPr="00AE0F50">
        <w:rPr>
          <w:rFonts w:cs="Arial"/>
          <w:szCs w:val="24"/>
        </w:rPr>
        <w:t>Licenciatura en educación preescolar</w:t>
      </w:r>
    </w:p>
    <w:p w14:paraId="17B7E3F4" w14:textId="77777777" w:rsidR="006B786D" w:rsidRPr="00AE0F50" w:rsidRDefault="006B786D" w:rsidP="006B786D">
      <w:pPr>
        <w:spacing w:after="0" w:line="240" w:lineRule="auto"/>
        <w:jc w:val="center"/>
        <w:rPr>
          <w:rFonts w:cs="Arial"/>
          <w:szCs w:val="24"/>
        </w:rPr>
      </w:pPr>
      <w:r w:rsidRPr="00AE0F50">
        <w:rPr>
          <w:rFonts w:cs="Arial"/>
          <w:szCs w:val="24"/>
        </w:rPr>
        <w:t xml:space="preserve">Ciclo 2020-2021 </w:t>
      </w:r>
      <w:r w:rsidRPr="00AE0F50">
        <w:rPr>
          <w:rFonts w:cs="Arial"/>
          <w:szCs w:val="24"/>
        </w:rPr>
        <w:tab/>
        <w:t>Sexto semestre</w:t>
      </w:r>
    </w:p>
    <w:p w14:paraId="04B0B919" w14:textId="77777777" w:rsidR="006B786D" w:rsidRPr="00AE0F50" w:rsidRDefault="006B786D" w:rsidP="006B786D">
      <w:pPr>
        <w:spacing w:after="0" w:line="240" w:lineRule="auto"/>
        <w:jc w:val="center"/>
        <w:rPr>
          <w:rFonts w:cs="Arial"/>
          <w:szCs w:val="24"/>
        </w:rPr>
      </w:pPr>
    </w:p>
    <w:p w14:paraId="0AB9A311" w14:textId="77777777" w:rsidR="006B786D" w:rsidRPr="00AE0F50" w:rsidRDefault="006B786D" w:rsidP="006B786D">
      <w:pPr>
        <w:spacing w:after="0" w:line="240" w:lineRule="auto"/>
        <w:jc w:val="center"/>
        <w:rPr>
          <w:rFonts w:cs="Arial"/>
          <w:szCs w:val="24"/>
        </w:rPr>
      </w:pPr>
      <w:r w:rsidRPr="00AE0F50">
        <w:rPr>
          <w:rFonts w:ascii="Times New Roman" w:eastAsia="Times New Roman" w:hAnsi="Times New Roman" w:cs="Times New Roman"/>
          <w:noProof/>
          <w:szCs w:val="24"/>
          <w:lang w:eastAsia="es-MX"/>
        </w:rPr>
        <w:drawing>
          <wp:anchor distT="0" distB="0" distL="114300" distR="114300" simplePos="0" relativeHeight="251659264" behindDoc="1" locked="0" layoutInCell="1" allowOverlap="1" wp14:anchorId="673B3855" wp14:editId="65ED1082">
            <wp:simplePos x="0" y="0"/>
            <wp:positionH relativeFrom="column">
              <wp:posOffset>1760220</wp:posOffset>
            </wp:positionH>
            <wp:positionV relativeFrom="page">
              <wp:posOffset>1905552</wp:posOffset>
            </wp:positionV>
            <wp:extent cx="1895475" cy="1409700"/>
            <wp:effectExtent l="0" t="0" r="9525"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0EB17262" w14:textId="77777777" w:rsidR="006B786D" w:rsidRPr="00AE0F50" w:rsidRDefault="006B786D" w:rsidP="006B786D">
      <w:pPr>
        <w:spacing w:after="0" w:line="240" w:lineRule="auto"/>
        <w:jc w:val="center"/>
        <w:rPr>
          <w:rFonts w:cs="Arial"/>
          <w:szCs w:val="24"/>
        </w:rPr>
      </w:pPr>
    </w:p>
    <w:p w14:paraId="487DDDB6" w14:textId="77777777" w:rsidR="006B786D" w:rsidRPr="00AE0F50" w:rsidRDefault="006B786D" w:rsidP="006B786D">
      <w:pPr>
        <w:spacing w:after="0" w:line="240" w:lineRule="auto"/>
        <w:jc w:val="center"/>
        <w:rPr>
          <w:rFonts w:cs="Arial"/>
          <w:szCs w:val="24"/>
        </w:rPr>
      </w:pPr>
    </w:p>
    <w:p w14:paraId="1FAF6D3B" w14:textId="77777777" w:rsidR="006B786D" w:rsidRPr="00AE0F50" w:rsidRDefault="006B786D" w:rsidP="006B786D">
      <w:pPr>
        <w:spacing w:after="0" w:line="240" w:lineRule="auto"/>
        <w:jc w:val="center"/>
        <w:rPr>
          <w:rFonts w:cs="Arial"/>
          <w:szCs w:val="24"/>
        </w:rPr>
      </w:pPr>
    </w:p>
    <w:p w14:paraId="27FE294E" w14:textId="77777777" w:rsidR="006B786D" w:rsidRPr="00AE0F50" w:rsidRDefault="006B786D" w:rsidP="006B786D">
      <w:pPr>
        <w:spacing w:after="0" w:line="240" w:lineRule="auto"/>
        <w:jc w:val="center"/>
        <w:rPr>
          <w:rFonts w:cs="Arial"/>
          <w:szCs w:val="24"/>
        </w:rPr>
      </w:pPr>
    </w:p>
    <w:p w14:paraId="5C836A01" w14:textId="77777777" w:rsidR="006B786D" w:rsidRPr="00AE0F50" w:rsidRDefault="006B786D" w:rsidP="006B786D">
      <w:pPr>
        <w:spacing w:after="0" w:line="240" w:lineRule="auto"/>
        <w:jc w:val="center"/>
        <w:rPr>
          <w:rFonts w:cs="Arial"/>
          <w:b/>
          <w:szCs w:val="24"/>
        </w:rPr>
      </w:pPr>
    </w:p>
    <w:p w14:paraId="38868BF2" w14:textId="77777777" w:rsidR="006B786D" w:rsidRDefault="006B786D" w:rsidP="006B786D">
      <w:pPr>
        <w:spacing w:after="0" w:line="240" w:lineRule="auto"/>
        <w:jc w:val="center"/>
        <w:rPr>
          <w:rFonts w:cs="Arial"/>
          <w:b/>
          <w:szCs w:val="24"/>
        </w:rPr>
      </w:pPr>
    </w:p>
    <w:p w14:paraId="1CB385C1" w14:textId="77777777" w:rsidR="006B786D" w:rsidRDefault="006B786D" w:rsidP="006B786D">
      <w:pPr>
        <w:spacing w:after="0" w:line="240" w:lineRule="auto"/>
        <w:jc w:val="center"/>
        <w:rPr>
          <w:rFonts w:cs="Arial"/>
          <w:b/>
          <w:szCs w:val="24"/>
        </w:rPr>
      </w:pPr>
    </w:p>
    <w:p w14:paraId="2E1EF17D" w14:textId="77777777" w:rsidR="006B786D" w:rsidRDefault="006B786D" w:rsidP="006B786D">
      <w:pPr>
        <w:spacing w:after="0" w:line="240" w:lineRule="auto"/>
        <w:jc w:val="center"/>
        <w:rPr>
          <w:rFonts w:cs="Arial"/>
          <w:b/>
          <w:szCs w:val="24"/>
        </w:rPr>
      </w:pPr>
    </w:p>
    <w:p w14:paraId="742320F9" w14:textId="77777777" w:rsidR="006B786D" w:rsidRPr="00AE0F50" w:rsidRDefault="006B786D" w:rsidP="006B786D">
      <w:pPr>
        <w:spacing w:after="0" w:line="240" w:lineRule="auto"/>
        <w:jc w:val="center"/>
        <w:rPr>
          <w:rFonts w:cs="Arial"/>
          <w:b/>
          <w:sz w:val="22"/>
        </w:rPr>
      </w:pPr>
      <w:r w:rsidRPr="00AE0F50">
        <w:rPr>
          <w:rFonts w:cs="Arial"/>
          <w:b/>
          <w:szCs w:val="24"/>
        </w:rPr>
        <w:t>Materia</w:t>
      </w:r>
      <w:r w:rsidRPr="00AE0F50">
        <w:rPr>
          <w:rFonts w:cs="Arial"/>
          <w:b/>
          <w:sz w:val="22"/>
        </w:rPr>
        <w:t>:</w:t>
      </w:r>
      <w:r>
        <w:rPr>
          <w:rFonts w:cs="Arial"/>
          <w:b/>
          <w:sz w:val="22"/>
        </w:rPr>
        <w:t xml:space="preserve"> Trabajo docente y proyectos de mejora escolar.</w:t>
      </w:r>
    </w:p>
    <w:p w14:paraId="02B4E520" w14:textId="77777777" w:rsidR="006B786D" w:rsidRPr="00AE0F50" w:rsidRDefault="006B786D" w:rsidP="006B786D">
      <w:pPr>
        <w:spacing w:after="0" w:line="240" w:lineRule="auto"/>
        <w:jc w:val="center"/>
        <w:rPr>
          <w:rFonts w:cs="Arial"/>
          <w:szCs w:val="24"/>
        </w:rPr>
      </w:pPr>
      <w:r w:rsidRPr="00AE0F50">
        <w:rPr>
          <w:rFonts w:cs="Arial"/>
          <w:b/>
          <w:szCs w:val="24"/>
        </w:rPr>
        <w:t xml:space="preserve">Maestro: </w:t>
      </w:r>
      <w:r>
        <w:rPr>
          <w:rFonts w:cs="Arial"/>
          <w:b/>
          <w:szCs w:val="24"/>
        </w:rPr>
        <w:t>Fabiola Valero Torres</w:t>
      </w:r>
      <w:r w:rsidRPr="00AE0F50">
        <w:rPr>
          <w:rFonts w:cs="Arial"/>
          <w:b/>
          <w:szCs w:val="24"/>
        </w:rPr>
        <w:t xml:space="preserve">  </w:t>
      </w:r>
    </w:p>
    <w:p w14:paraId="70C6A90E" w14:textId="77777777" w:rsidR="006B786D" w:rsidRPr="00AE0F50" w:rsidRDefault="006B786D" w:rsidP="006B786D">
      <w:pPr>
        <w:spacing w:after="0" w:line="240" w:lineRule="auto"/>
        <w:jc w:val="center"/>
        <w:rPr>
          <w:rFonts w:cs="Arial"/>
          <w:sz w:val="22"/>
        </w:rPr>
      </w:pPr>
    </w:p>
    <w:p w14:paraId="10507348" w14:textId="2AA8C0B1" w:rsidR="006B786D" w:rsidRPr="00AE0F50" w:rsidRDefault="006B786D" w:rsidP="006B786D">
      <w:pPr>
        <w:spacing w:after="0" w:line="240" w:lineRule="auto"/>
        <w:jc w:val="center"/>
        <w:rPr>
          <w:rFonts w:cs="Arial"/>
          <w:szCs w:val="24"/>
        </w:rPr>
      </w:pPr>
      <w:r w:rsidRPr="00AE0F50">
        <w:rPr>
          <w:rFonts w:cs="Arial"/>
          <w:b/>
          <w:szCs w:val="24"/>
        </w:rPr>
        <w:t>Tema:</w:t>
      </w:r>
      <w:r w:rsidRPr="00AE0F50">
        <w:rPr>
          <w:rFonts w:cs="Arial"/>
          <w:szCs w:val="24"/>
        </w:rPr>
        <w:t xml:space="preserve"> </w:t>
      </w:r>
      <w:r>
        <w:rPr>
          <w:rFonts w:cs="Arial"/>
          <w:szCs w:val="24"/>
        </w:rPr>
        <w:t xml:space="preserve">Notas Científicas </w:t>
      </w:r>
      <w:r w:rsidRPr="00AE0F50">
        <w:rPr>
          <w:rFonts w:cs="Arial"/>
          <w:szCs w:val="24"/>
        </w:rPr>
        <w:t>jornada</w:t>
      </w:r>
      <w:r>
        <w:rPr>
          <w:rFonts w:cs="Arial"/>
          <w:szCs w:val="24"/>
        </w:rPr>
        <w:t xml:space="preserve"> de practica del 1</w:t>
      </w:r>
      <w:r w:rsidR="001B503A">
        <w:rPr>
          <w:rFonts w:cs="Arial"/>
          <w:szCs w:val="24"/>
        </w:rPr>
        <w:t>4</w:t>
      </w:r>
      <w:r>
        <w:rPr>
          <w:rFonts w:cs="Arial"/>
          <w:szCs w:val="24"/>
        </w:rPr>
        <w:t xml:space="preserve"> al 1</w:t>
      </w:r>
      <w:r w:rsidR="001B503A">
        <w:rPr>
          <w:rFonts w:cs="Arial"/>
          <w:szCs w:val="24"/>
        </w:rPr>
        <w:t>8</w:t>
      </w:r>
      <w:r>
        <w:rPr>
          <w:rFonts w:cs="Arial"/>
          <w:szCs w:val="24"/>
        </w:rPr>
        <w:t xml:space="preserve"> de </w:t>
      </w:r>
      <w:r w:rsidR="001B503A">
        <w:rPr>
          <w:rFonts w:cs="Arial"/>
          <w:szCs w:val="24"/>
        </w:rPr>
        <w:t>junio</w:t>
      </w:r>
    </w:p>
    <w:p w14:paraId="796338A4" w14:textId="77777777" w:rsidR="006B786D" w:rsidRPr="00AE0F50" w:rsidRDefault="006B786D" w:rsidP="006B786D">
      <w:pPr>
        <w:spacing w:after="0" w:line="240" w:lineRule="auto"/>
        <w:jc w:val="center"/>
        <w:rPr>
          <w:rFonts w:asciiTheme="minorHAnsi" w:hAnsiTheme="minorHAnsi"/>
          <w:sz w:val="22"/>
        </w:rPr>
      </w:pPr>
      <w:r w:rsidRPr="00AE0F50">
        <w:rPr>
          <w:rFonts w:cs="Arial"/>
          <w:b/>
          <w:bCs/>
          <w:szCs w:val="24"/>
        </w:rPr>
        <w:t>Unidad II Responsabilidades legales y éticos del quehacer profesional.</w:t>
      </w:r>
    </w:p>
    <w:p w14:paraId="6E80E137" w14:textId="77777777" w:rsidR="006B786D" w:rsidRPr="00AE0F50" w:rsidRDefault="006B786D" w:rsidP="006B786D">
      <w:pPr>
        <w:spacing w:after="0" w:line="240" w:lineRule="auto"/>
        <w:jc w:val="center"/>
        <w:rPr>
          <w:rFonts w:cs="Arial"/>
          <w:b/>
          <w:bCs/>
          <w:szCs w:val="24"/>
        </w:rPr>
      </w:pPr>
    </w:p>
    <w:p w14:paraId="614CDBB6" w14:textId="77777777" w:rsidR="006B786D" w:rsidRPr="00AE0F50" w:rsidRDefault="006B786D" w:rsidP="006B786D">
      <w:pPr>
        <w:spacing w:after="0" w:line="240" w:lineRule="auto"/>
        <w:jc w:val="center"/>
        <w:rPr>
          <w:rFonts w:cs="Arial"/>
          <w:szCs w:val="24"/>
        </w:rPr>
      </w:pPr>
      <w:r w:rsidRPr="00AE0F50">
        <w:rPr>
          <w:rFonts w:cs="Arial"/>
          <w:b/>
          <w:szCs w:val="24"/>
        </w:rPr>
        <w:t>Alumna:</w:t>
      </w:r>
      <w:r w:rsidRPr="00AE0F50">
        <w:rPr>
          <w:rFonts w:cs="Arial"/>
          <w:szCs w:val="24"/>
        </w:rPr>
        <w:t xml:space="preserve"> Dulce Nelly Pérez Núñez. </w:t>
      </w:r>
      <w:r w:rsidRPr="00AE0F50">
        <w:rPr>
          <w:rFonts w:cs="Arial"/>
          <w:b/>
          <w:szCs w:val="24"/>
        </w:rPr>
        <w:t xml:space="preserve">N#: </w:t>
      </w:r>
      <w:r w:rsidRPr="00AE0F50">
        <w:rPr>
          <w:rFonts w:cs="Arial"/>
          <w:szCs w:val="24"/>
        </w:rPr>
        <w:t xml:space="preserve">11 </w:t>
      </w:r>
    </w:p>
    <w:p w14:paraId="5C95C223" w14:textId="77777777" w:rsidR="006B786D" w:rsidRPr="00AE0F50" w:rsidRDefault="006B786D" w:rsidP="006B786D">
      <w:pPr>
        <w:spacing w:after="0" w:line="240" w:lineRule="auto"/>
        <w:jc w:val="center"/>
        <w:rPr>
          <w:rFonts w:cs="Arial"/>
          <w:szCs w:val="24"/>
        </w:rPr>
      </w:pPr>
      <w:r w:rsidRPr="00AE0F50">
        <w:rPr>
          <w:rFonts w:cs="Arial"/>
          <w:b/>
          <w:szCs w:val="24"/>
        </w:rPr>
        <w:t>Grado</w:t>
      </w:r>
      <w:r w:rsidRPr="00AE0F50">
        <w:rPr>
          <w:rFonts w:cs="Arial"/>
          <w:szCs w:val="24"/>
        </w:rPr>
        <w:t xml:space="preserve">: 3 </w:t>
      </w:r>
      <w:r w:rsidRPr="00AE0F50">
        <w:rPr>
          <w:rFonts w:cs="Arial"/>
          <w:b/>
          <w:szCs w:val="24"/>
        </w:rPr>
        <w:t>sección:</w:t>
      </w:r>
      <w:r w:rsidRPr="00AE0F50">
        <w:rPr>
          <w:rFonts w:cs="Arial"/>
          <w:szCs w:val="24"/>
        </w:rPr>
        <w:t xml:space="preserve"> “B”</w:t>
      </w:r>
    </w:p>
    <w:p w14:paraId="78459D91" w14:textId="77777777" w:rsidR="006B786D" w:rsidRDefault="006B786D" w:rsidP="006B786D">
      <w:pPr>
        <w:spacing w:after="0" w:line="259" w:lineRule="auto"/>
        <w:rPr>
          <w:rFonts w:cs="Arial"/>
          <w:b/>
          <w:bCs/>
          <w:szCs w:val="24"/>
        </w:rPr>
      </w:pPr>
      <w:r w:rsidRPr="00AE0F50">
        <w:rPr>
          <w:rFonts w:cs="Arial"/>
          <w:b/>
          <w:bCs/>
          <w:szCs w:val="24"/>
        </w:rPr>
        <w:t xml:space="preserve">Competencias: </w:t>
      </w:r>
      <w:r w:rsidRPr="00AE0F50">
        <w:rPr>
          <w:rFonts w:cs="Arial"/>
          <w:b/>
          <w:bCs/>
          <w:szCs w:val="24"/>
        </w:rPr>
        <w:tab/>
      </w:r>
    </w:p>
    <w:p w14:paraId="21BAB040"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Plantea las necesidades formativas de los alumnos de acuerdo con sus procesos de desarrollo y de aprendizaje, con base en los nuevos enfoques pedagógicos. </w:t>
      </w:r>
    </w:p>
    <w:p w14:paraId="1208425F"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14:paraId="61E6F60D"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Utiliza metodologías pertinentes y actualizadas para promover el aprendizaje de los alumnos en los diferentes campos, áreas y ámbitos que propone el currículum, considerando los contextos y su desarrollo. </w:t>
      </w:r>
    </w:p>
    <w:p w14:paraId="747A2BC2"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Incorpora los recursos y medios didácticos idóneos para favorecer el aprendizaje de acuerdo con el conocimiento de los procesos de desarrollo cognitivo y socioemocional de los alumnos. </w:t>
      </w:r>
    </w:p>
    <w:p w14:paraId="0DEDA5EB"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Elabora diagnósticos de los intereses, motivaciones y necesidades formativas de los alumnos para organizar las actividades de aprendizaje, así como las adecuaciones curriculares y didácticas pertinentes. </w:t>
      </w:r>
    </w:p>
    <w:p w14:paraId="7102E656"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Selecciona estrategias que favorecen el desarrollo intelectual, físico, social y emocional de los alumnos para procurar el logro de los aprendizajes. </w:t>
      </w:r>
    </w:p>
    <w:p w14:paraId="174B5367"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Emplea los medios tecnológicos y las fuentes de información científica disponibles para mantenerse actualizado respecto a los diversos campos de conocimiento que intervienen en su trabajo docente. </w:t>
      </w:r>
    </w:p>
    <w:p w14:paraId="3FCB4819"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Construye escenarios y experiencias de aprendizaje utilizando diversos recursos metodológicos y tecnológicos para favorecer la educación inclusiva. </w:t>
      </w:r>
    </w:p>
    <w:p w14:paraId="7499AAF7"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Evalúa el aprendizaje de sus alumnos mediante la aplicación de distintas teorías, métodos e instrumentos considerando las áreas, campos y ámbitos de conocimiento, así como los saberes correspondientes al grado y nivel educativo. </w:t>
      </w:r>
    </w:p>
    <w:p w14:paraId="4640B54C"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Elabora propuestas para mejorar los resultados de su enseñanza y los aprendizajes de sus alumnos. </w:t>
      </w:r>
    </w:p>
    <w:p w14:paraId="3B781048"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Utiliza los recursos metodológicos y técnicos de la investigación para explicar, comprender situaciones educativas y mejorar su docencia. </w:t>
      </w:r>
    </w:p>
    <w:p w14:paraId="081574AC" w14:textId="77777777" w:rsidR="006B786D" w:rsidRPr="00B052B2" w:rsidRDefault="006B786D" w:rsidP="006B786D">
      <w:pPr>
        <w:autoSpaceDE w:val="0"/>
        <w:autoSpaceDN w:val="0"/>
        <w:adjustRightInd w:val="0"/>
        <w:spacing w:after="0" w:line="240" w:lineRule="auto"/>
        <w:rPr>
          <w:rFonts w:cs="Arial"/>
          <w:color w:val="000000"/>
          <w:sz w:val="18"/>
          <w:szCs w:val="18"/>
        </w:rPr>
      </w:pPr>
      <w:r w:rsidRPr="00B052B2">
        <w:rPr>
          <w:rFonts w:cs="Arial"/>
          <w:color w:val="000000"/>
          <w:sz w:val="18"/>
          <w:szCs w:val="18"/>
        </w:rPr>
        <w:t xml:space="preserve">• Orienta su actuación profesional con sentido ético-valoral y asume los diversos principios y reglas que aseguran una mejor convivencia institucional y social, en beneficio de los alumnos y de la comunidad escolar. </w:t>
      </w:r>
    </w:p>
    <w:p w14:paraId="3A29AE25" w14:textId="77777777" w:rsidR="006B786D" w:rsidRPr="00AE0F50" w:rsidRDefault="006B786D" w:rsidP="006B786D">
      <w:pPr>
        <w:spacing w:after="0" w:line="259" w:lineRule="auto"/>
        <w:rPr>
          <w:rFonts w:cs="Arial"/>
          <w:sz w:val="18"/>
          <w:szCs w:val="18"/>
        </w:rPr>
      </w:pPr>
      <w:r w:rsidRPr="00B052B2">
        <w:rPr>
          <w:rFonts w:asciiTheme="minorHAnsi" w:hAnsiTheme="minorHAnsi"/>
          <w:sz w:val="18"/>
          <w:szCs w:val="18"/>
        </w:rPr>
        <w:t>• Decide las estrategias pedagógicas para minimizar o eliminar las barreras para el aprendizaje y la participación asegurando una educación inclusiva.</w:t>
      </w:r>
    </w:p>
    <w:p w14:paraId="6C0A9C1A" w14:textId="77777777" w:rsidR="006B786D" w:rsidRPr="00AE0F50" w:rsidRDefault="006B786D" w:rsidP="006B786D">
      <w:pPr>
        <w:spacing w:after="0" w:line="259" w:lineRule="auto"/>
        <w:jc w:val="right"/>
        <w:rPr>
          <w:rFonts w:cs="Arial"/>
          <w:sz w:val="22"/>
        </w:rPr>
      </w:pPr>
      <w:r w:rsidRPr="00AE0F50">
        <w:rPr>
          <w:rFonts w:cs="Arial"/>
          <w:sz w:val="22"/>
        </w:rPr>
        <w:t xml:space="preserve">Saltillo Coahuila México    </w:t>
      </w:r>
    </w:p>
    <w:p w14:paraId="6E138967" w14:textId="266A46A3" w:rsidR="006B786D" w:rsidRDefault="001B503A" w:rsidP="006B786D">
      <w:pPr>
        <w:spacing w:after="0" w:line="259" w:lineRule="auto"/>
        <w:jc w:val="right"/>
        <w:rPr>
          <w:rFonts w:ascii="Modern Love Grunge" w:hAnsi="Modern Love Grunge"/>
          <w:sz w:val="44"/>
          <w:szCs w:val="44"/>
        </w:rPr>
      </w:pPr>
      <w:r>
        <w:rPr>
          <w:rFonts w:cs="Arial"/>
          <w:sz w:val="22"/>
        </w:rPr>
        <w:t>13 de junio</w:t>
      </w:r>
      <w:r w:rsidR="006B786D" w:rsidRPr="00AE0F50">
        <w:rPr>
          <w:rFonts w:cs="Arial"/>
          <w:sz w:val="22"/>
        </w:rPr>
        <w:t xml:space="preserve"> de 2021</w:t>
      </w:r>
    </w:p>
    <w:p w14:paraId="7E8B2D46" w14:textId="77777777" w:rsidR="006B786D" w:rsidRPr="00AE0F50" w:rsidRDefault="006B786D" w:rsidP="006B786D">
      <w:pPr>
        <w:rPr>
          <w:rFonts w:ascii="Modern Love Grunge" w:hAnsi="Modern Love Grunge"/>
          <w:sz w:val="44"/>
          <w:szCs w:val="44"/>
        </w:rPr>
        <w:sectPr w:rsidR="006B786D" w:rsidRPr="00AE0F50" w:rsidSect="00B052B2">
          <w:pgSz w:w="12240" w:h="15840"/>
          <w:pgMar w:top="1417" w:right="1701" w:bottom="1417" w:left="1701" w:header="708" w:footer="708" w:gutter="0"/>
          <w:pgBorders w:offsetFrom="page">
            <w:top w:val="threeDEngrave" w:sz="12" w:space="24" w:color="000000" w:themeColor="text1"/>
            <w:left w:val="threeDEngrave" w:sz="12" w:space="24" w:color="000000" w:themeColor="text1"/>
            <w:bottom w:val="threeDEmboss" w:sz="12" w:space="24" w:color="000000" w:themeColor="text1"/>
            <w:right w:val="threeDEmboss" w:sz="12" w:space="24" w:color="000000" w:themeColor="text1"/>
          </w:pgBorders>
          <w:cols w:space="708"/>
          <w:docGrid w:linePitch="360"/>
        </w:sectPr>
      </w:pPr>
    </w:p>
    <w:p w14:paraId="3C54D62F" w14:textId="77777777" w:rsidR="006B786D" w:rsidRPr="003B2724" w:rsidRDefault="006B786D" w:rsidP="006B786D">
      <w:pPr>
        <w:jc w:val="center"/>
        <w:rPr>
          <w:rFonts w:ascii="Modern Love Grunge" w:hAnsi="Modern Love Grunge"/>
          <w:sz w:val="44"/>
          <w:szCs w:val="44"/>
        </w:rPr>
      </w:pPr>
      <w:r w:rsidRPr="003B2724">
        <w:rPr>
          <w:rFonts w:ascii="Modern Love Grunge" w:hAnsi="Modern Love Grunge"/>
          <w:sz w:val="44"/>
          <w:szCs w:val="44"/>
        </w:rPr>
        <w:lastRenderedPageBreak/>
        <w:t>Notas científicas</w:t>
      </w:r>
    </w:p>
    <w:tbl>
      <w:tblPr>
        <w:tblStyle w:val="Tablaconcuadrcula"/>
        <w:tblW w:w="18570" w:type="dxa"/>
        <w:tblInd w:w="-572" w:type="dxa"/>
        <w:tblLook w:val="04A0" w:firstRow="1" w:lastRow="0" w:firstColumn="1" w:lastColumn="0" w:noHBand="0" w:noVBand="1"/>
      </w:tblPr>
      <w:tblGrid>
        <w:gridCol w:w="1737"/>
        <w:gridCol w:w="7605"/>
        <w:gridCol w:w="1998"/>
        <w:gridCol w:w="7230"/>
      </w:tblGrid>
      <w:tr w:rsidR="00396608" w14:paraId="34B9FAF2" w14:textId="77777777" w:rsidTr="00396608">
        <w:tc>
          <w:tcPr>
            <w:tcW w:w="1737" w:type="dxa"/>
            <w:vAlign w:val="center"/>
          </w:tcPr>
          <w:p w14:paraId="1DA99760" w14:textId="77777777" w:rsidR="00396608" w:rsidRDefault="00396608" w:rsidP="006843D7">
            <w:pPr>
              <w:jc w:val="center"/>
            </w:pPr>
            <w:r>
              <w:t>Palabra</w:t>
            </w:r>
          </w:p>
        </w:tc>
        <w:tc>
          <w:tcPr>
            <w:tcW w:w="7605" w:type="dxa"/>
            <w:vAlign w:val="center"/>
          </w:tcPr>
          <w:p w14:paraId="0E211099" w14:textId="77777777" w:rsidR="00396608" w:rsidRDefault="00396608" w:rsidP="006843D7">
            <w:pPr>
              <w:jc w:val="center"/>
            </w:pPr>
            <w:r>
              <w:t>Concepto</w:t>
            </w:r>
          </w:p>
        </w:tc>
        <w:tc>
          <w:tcPr>
            <w:tcW w:w="1998" w:type="dxa"/>
          </w:tcPr>
          <w:p w14:paraId="288E0255" w14:textId="1EF51A66" w:rsidR="00396608" w:rsidRDefault="00396608" w:rsidP="006843D7">
            <w:pPr>
              <w:jc w:val="center"/>
            </w:pPr>
            <w:r>
              <w:t xml:space="preserve">Forma en que se da a conocer </w:t>
            </w:r>
          </w:p>
        </w:tc>
        <w:tc>
          <w:tcPr>
            <w:tcW w:w="7230" w:type="dxa"/>
            <w:vAlign w:val="center"/>
          </w:tcPr>
          <w:p w14:paraId="25868571" w14:textId="75D93332" w:rsidR="00396608" w:rsidRDefault="00396608" w:rsidP="006843D7">
            <w:pPr>
              <w:jc w:val="center"/>
            </w:pPr>
            <w:r>
              <w:t>Bibliografía</w:t>
            </w:r>
          </w:p>
        </w:tc>
      </w:tr>
      <w:tr w:rsidR="00396608" w14:paraId="0E42E62E" w14:textId="77777777" w:rsidTr="00396608">
        <w:tc>
          <w:tcPr>
            <w:tcW w:w="1737" w:type="dxa"/>
            <w:vAlign w:val="center"/>
          </w:tcPr>
          <w:p w14:paraId="5DDCE6E9" w14:textId="154DA570" w:rsidR="00396608" w:rsidRDefault="00396608" w:rsidP="006843D7">
            <w:pPr>
              <w:jc w:val="center"/>
            </w:pPr>
            <w:r>
              <w:t>Consecuencia</w:t>
            </w:r>
          </w:p>
        </w:tc>
        <w:tc>
          <w:tcPr>
            <w:tcW w:w="7605" w:type="dxa"/>
            <w:vAlign w:val="center"/>
          </w:tcPr>
          <w:p w14:paraId="7E93600B" w14:textId="77777777" w:rsidR="00396608" w:rsidRDefault="00396608" w:rsidP="00396608">
            <w:pPr>
              <w:spacing w:line="240" w:lineRule="auto"/>
            </w:pPr>
          </w:p>
          <w:p w14:paraId="39E76FB3" w14:textId="77777777" w:rsidR="00396608" w:rsidRPr="00303247" w:rsidRDefault="00396608" w:rsidP="00396608">
            <w:pPr>
              <w:spacing w:line="240" w:lineRule="auto"/>
            </w:pPr>
            <w:r w:rsidRPr="00303247">
              <w:t>Una consecuencia es un suceso o acontecimiento que deviene o que resulta de otro suceso, es el efecto de un evento, de una elección o de una circunstancia.</w:t>
            </w:r>
          </w:p>
          <w:p w14:paraId="19EA1A39" w14:textId="101822A8" w:rsidR="00396608" w:rsidRDefault="00396608" w:rsidP="00396608">
            <w:pPr>
              <w:spacing w:line="240" w:lineRule="auto"/>
            </w:pPr>
            <w:r>
              <w:rPr>
                <w:rFonts w:ascii="Verdana" w:hAnsi="Verdana"/>
                <w:color w:val="333333"/>
                <w:sz w:val="27"/>
                <w:szCs w:val="27"/>
                <w:shd w:val="clear" w:color="auto" w:fill="FBFAF8"/>
              </w:rPr>
              <w:t xml:space="preserve">En </w:t>
            </w:r>
            <w:r w:rsidRPr="00303247">
              <w:t>el caso de las acciones humanas, es inevitable que su aprecio o valoración caiga en el ámbito de la ética y de la </w:t>
            </w:r>
            <w:hyperlink r:id="rId6" w:tooltip="moral" w:history="1">
              <w:r w:rsidRPr="00303247">
                <w:rPr>
                  <w:rStyle w:val="Hipervnculo"/>
                  <w:color w:val="auto"/>
                  <w:u w:val="none"/>
                </w:rPr>
                <w:t>moral</w:t>
              </w:r>
            </w:hyperlink>
            <w:r w:rsidRPr="00303247">
              <w:t>.</w:t>
            </w:r>
          </w:p>
        </w:tc>
        <w:tc>
          <w:tcPr>
            <w:tcW w:w="1998" w:type="dxa"/>
          </w:tcPr>
          <w:p w14:paraId="497BADD9" w14:textId="77777777" w:rsidR="00396608" w:rsidRDefault="00396608" w:rsidP="00303247">
            <w:pPr>
              <w:spacing w:line="240" w:lineRule="auto"/>
            </w:pPr>
          </w:p>
          <w:p w14:paraId="6C4FB8E9" w14:textId="6ED76435" w:rsidR="00396608" w:rsidRDefault="00396608" w:rsidP="00303247">
            <w:pPr>
              <w:spacing w:line="240" w:lineRule="auto"/>
            </w:pPr>
            <w:r>
              <w:t xml:space="preserve">Breve explicación. </w:t>
            </w:r>
          </w:p>
        </w:tc>
        <w:tc>
          <w:tcPr>
            <w:tcW w:w="7230" w:type="dxa"/>
            <w:vAlign w:val="center"/>
          </w:tcPr>
          <w:p w14:paraId="44FCBE6B" w14:textId="6AFC4E2B" w:rsidR="00396608" w:rsidRDefault="00396608" w:rsidP="00303247">
            <w:pPr>
              <w:spacing w:line="240" w:lineRule="auto"/>
            </w:pPr>
            <w:hyperlink r:id="rId7" w:history="1">
              <w:r w:rsidRPr="00E45FDA">
                <w:rPr>
                  <w:rStyle w:val="Hipervnculo"/>
                </w:rPr>
                <w:t>https://www.definicionabc.com/general/</w:t>
              </w:r>
              <w:r w:rsidRPr="00E45FDA">
                <w:rPr>
                  <w:rStyle w:val="Hipervnculo"/>
                </w:rPr>
                <w:br/>
              </w:r>
              <w:proofErr w:type="spellStart"/>
              <w:r w:rsidRPr="00E45FDA">
                <w:rPr>
                  <w:rStyle w:val="Hipervnculo"/>
                </w:rPr>
                <w:t>consecuencia.php</w:t>
              </w:r>
              <w:proofErr w:type="spellEnd"/>
            </w:hyperlink>
            <w:r>
              <w:t xml:space="preserve"> </w:t>
            </w:r>
          </w:p>
          <w:p w14:paraId="7621EB0A" w14:textId="2F8A18A5" w:rsidR="00396608" w:rsidRDefault="00396608" w:rsidP="006843D7">
            <w:pPr>
              <w:spacing w:line="240" w:lineRule="auto"/>
              <w:jc w:val="center"/>
            </w:pPr>
          </w:p>
        </w:tc>
      </w:tr>
      <w:tr w:rsidR="00396608" w14:paraId="18EE7D31" w14:textId="77777777" w:rsidTr="00396608">
        <w:tc>
          <w:tcPr>
            <w:tcW w:w="1737" w:type="dxa"/>
            <w:vAlign w:val="center"/>
          </w:tcPr>
          <w:p w14:paraId="37853CD1" w14:textId="59DC2537" w:rsidR="00396608" w:rsidRDefault="00396608" w:rsidP="00396608">
            <w:pPr>
              <w:jc w:val="center"/>
            </w:pPr>
            <w:r>
              <w:t>Hábitat</w:t>
            </w:r>
          </w:p>
        </w:tc>
        <w:tc>
          <w:tcPr>
            <w:tcW w:w="7605" w:type="dxa"/>
            <w:vAlign w:val="center"/>
          </w:tcPr>
          <w:p w14:paraId="0D7AEA0E" w14:textId="6C461A37" w:rsidR="00396608" w:rsidRDefault="00396608" w:rsidP="00396608">
            <w:pPr>
              <w:spacing w:line="240" w:lineRule="auto"/>
            </w:pPr>
            <w:r>
              <w:t>El hábitat se puede concebir como el espacio que reúne las condiciones y características físicas y biológicas necesarias para la supervivencia y reproducción de una especie.</w:t>
            </w:r>
          </w:p>
          <w:p w14:paraId="3F71E38B" w14:textId="4831D7A6" w:rsidR="00396608" w:rsidRDefault="00396608" w:rsidP="00396608">
            <w:pPr>
              <w:tabs>
                <w:tab w:val="left" w:pos="2280"/>
              </w:tabs>
              <w:spacing w:line="240" w:lineRule="auto"/>
            </w:pPr>
          </w:p>
        </w:tc>
        <w:tc>
          <w:tcPr>
            <w:tcW w:w="1998" w:type="dxa"/>
          </w:tcPr>
          <w:p w14:paraId="173C9049" w14:textId="77777777" w:rsidR="00396608" w:rsidRDefault="00396608" w:rsidP="00396608">
            <w:pPr>
              <w:spacing w:line="240" w:lineRule="auto"/>
            </w:pPr>
          </w:p>
          <w:p w14:paraId="43AFE860" w14:textId="0977EBFB" w:rsidR="00396608" w:rsidRDefault="00396608" w:rsidP="00396608">
            <w:pPr>
              <w:spacing w:line="240" w:lineRule="auto"/>
              <w:jc w:val="center"/>
            </w:pPr>
            <w:r>
              <w:t xml:space="preserve">Breve explicación. </w:t>
            </w:r>
          </w:p>
        </w:tc>
        <w:tc>
          <w:tcPr>
            <w:tcW w:w="7230" w:type="dxa"/>
            <w:vAlign w:val="center"/>
          </w:tcPr>
          <w:p w14:paraId="3623DD53" w14:textId="4975B50F" w:rsidR="00396608" w:rsidRDefault="00396608" w:rsidP="00396608">
            <w:pPr>
              <w:spacing w:line="240" w:lineRule="auto"/>
              <w:jc w:val="center"/>
            </w:pPr>
            <w:r>
              <w:t xml:space="preserve">Delfín- Alfonso, Ch. Gallina- Tessaro, S. López-Gonzales, C. (2001) EL HÁBITAT: DEFINICION, DIMENCIONES Y ESCALAS DE EVALUACIÓN OARA LA FAUNA SILVESTRE. </w:t>
            </w:r>
            <w:hyperlink r:id="rId8" w:history="1">
              <w:r w:rsidRPr="00E45FDA">
                <w:rPr>
                  <w:rStyle w:val="Hipervnculo"/>
                </w:rPr>
                <w:t>http://www2.inecc.gob.mx/publicaciones2</w:t>
              </w:r>
              <w:r w:rsidRPr="00E45FDA">
                <w:rPr>
                  <w:rStyle w:val="Hipervnculo"/>
                </w:rPr>
                <w:br/>
                <w:t>/libros/717/cap13.pdf</w:t>
              </w:r>
            </w:hyperlink>
            <w:r>
              <w:t xml:space="preserve"> </w:t>
            </w:r>
          </w:p>
        </w:tc>
      </w:tr>
      <w:tr w:rsidR="00396608" w14:paraId="552E9D2C" w14:textId="77777777" w:rsidTr="00396608">
        <w:tc>
          <w:tcPr>
            <w:tcW w:w="1737" w:type="dxa"/>
            <w:vAlign w:val="center"/>
          </w:tcPr>
          <w:p w14:paraId="444C3954" w14:textId="7E40AE46" w:rsidR="00396608" w:rsidRDefault="00396608" w:rsidP="00396608">
            <w:pPr>
              <w:jc w:val="center"/>
            </w:pPr>
            <w:r>
              <w:t>Capacidad</w:t>
            </w:r>
          </w:p>
        </w:tc>
        <w:tc>
          <w:tcPr>
            <w:tcW w:w="7605" w:type="dxa"/>
            <w:vAlign w:val="center"/>
          </w:tcPr>
          <w:p w14:paraId="3B4015B2" w14:textId="60685F2D" w:rsidR="00396608" w:rsidRPr="00642771" w:rsidRDefault="00396608" w:rsidP="00396608">
            <w:pPr>
              <w:spacing w:line="240" w:lineRule="auto"/>
            </w:pPr>
            <w:r w:rsidRPr="00642771">
              <w:t>La capacidad mide la cantidad de líquido que cabe dentro de un objeto. Por ejemplo, la capacidad de una botella es la cantidad de líquido con la que podemos llenarla, La unidad principal para medir la capacidad de un objeto es el litro. Pero no es la única que tenemos. Están los múltiplos, que son las unidades para expresas capacidades más grandes que el litro y los submúltiplos, que son las unidades para expresas capacidades más pequeñas</w:t>
            </w:r>
          </w:p>
        </w:tc>
        <w:tc>
          <w:tcPr>
            <w:tcW w:w="1998" w:type="dxa"/>
          </w:tcPr>
          <w:p w14:paraId="58A4BD25" w14:textId="77777777" w:rsidR="00396608" w:rsidRDefault="00396608" w:rsidP="00396608">
            <w:pPr>
              <w:spacing w:line="240" w:lineRule="auto"/>
            </w:pPr>
          </w:p>
          <w:p w14:paraId="19FB566C" w14:textId="42F920CA" w:rsidR="00396608" w:rsidRDefault="00396608" w:rsidP="00396608">
            <w:pPr>
              <w:spacing w:line="240" w:lineRule="auto"/>
              <w:jc w:val="center"/>
            </w:pPr>
            <w:r>
              <w:t xml:space="preserve">Breve explicación. </w:t>
            </w:r>
          </w:p>
        </w:tc>
        <w:tc>
          <w:tcPr>
            <w:tcW w:w="7230" w:type="dxa"/>
            <w:vAlign w:val="center"/>
          </w:tcPr>
          <w:p w14:paraId="248D20C3" w14:textId="4E72823E" w:rsidR="00396608" w:rsidRDefault="00396608" w:rsidP="00396608">
            <w:pPr>
              <w:spacing w:line="240" w:lineRule="auto"/>
              <w:jc w:val="center"/>
            </w:pPr>
            <w:hyperlink r:id="rId9" w:history="1">
              <w:r w:rsidRPr="00E45FDA">
                <w:rPr>
                  <w:rStyle w:val="Hipervnculo"/>
                </w:rPr>
                <w:t>https://www.smartick.es/blog/matematicas/</w:t>
              </w:r>
              <w:r w:rsidRPr="00E45FDA">
                <w:rPr>
                  <w:rStyle w:val="Hipervnculo"/>
                </w:rPr>
                <w:br/>
                <w:t>medidas-y-datos/medidas-de-capacidad/</w:t>
              </w:r>
            </w:hyperlink>
            <w:r>
              <w:t xml:space="preserve"> </w:t>
            </w:r>
          </w:p>
        </w:tc>
      </w:tr>
      <w:tr w:rsidR="00396608" w14:paraId="1E29B1B1" w14:textId="77777777" w:rsidTr="00396608">
        <w:tc>
          <w:tcPr>
            <w:tcW w:w="1737" w:type="dxa"/>
            <w:vAlign w:val="center"/>
          </w:tcPr>
          <w:p w14:paraId="10457195" w14:textId="583D51B5" w:rsidR="00396608" w:rsidRDefault="00396608" w:rsidP="00396608">
            <w:pPr>
              <w:jc w:val="center"/>
            </w:pPr>
            <w:r>
              <w:t>Pócima</w:t>
            </w:r>
          </w:p>
        </w:tc>
        <w:tc>
          <w:tcPr>
            <w:tcW w:w="7605" w:type="dxa"/>
            <w:vAlign w:val="center"/>
          </w:tcPr>
          <w:p w14:paraId="53231E1F" w14:textId="46EF792F" w:rsidR="00396608" w:rsidRDefault="00396608" w:rsidP="00396608">
            <w:pPr>
              <w:spacing w:line="240" w:lineRule="auto"/>
            </w:pPr>
            <w:r>
              <w:t>Líquido</w:t>
            </w:r>
            <w:r>
              <w:rPr>
                <w:rFonts w:ascii="Arial Unicode MS" w:eastAsia="Arial Unicode MS" w:hAnsi="Arial Unicode MS" w:cs="Arial Unicode MS" w:hint="eastAsia"/>
                <w:color w:val="000000"/>
                <w:spacing w:val="4"/>
                <w:sz w:val="26"/>
                <w:szCs w:val="26"/>
                <w:shd w:val="clear" w:color="auto" w:fill="FFFFFF"/>
              </w:rPr>
              <w:t> </w:t>
            </w:r>
            <w:r>
              <w:t>desagradable</w:t>
            </w:r>
            <w:r>
              <w:rPr>
                <w:rFonts w:ascii="Arial Unicode MS" w:eastAsia="Arial Unicode MS" w:hAnsi="Arial Unicode MS" w:cs="Arial Unicode MS" w:hint="eastAsia"/>
                <w:color w:val="000000"/>
                <w:spacing w:val="4"/>
                <w:sz w:val="26"/>
                <w:szCs w:val="26"/>
                <w:shd w:val="clear" w:color="auto" w:fill="FFFFFF"/>
              </w:rPr>
              <w:t> </w:t>
            </w:r>
            <w:r>
              <w:t>de</w:t>
            </w:r>
            <w:r>
              <w:rPr>
                <w:rFonts w:ascii="Arial Unicode MS" w:eastAsia="Arial Unicode MS" w:hAnsi="Arial Unicode MS" w:cs="Arial Unicode MS" w:hint="eastAsia"/>
                <w:color w:val="000000"/>
                <w:spacing w:val="4"/>
                <w:sz w:val="26"/>
                <w:szCs w:val="26"/>
                <w:shd w:val="clear" w:color="auto" w:fill="FFFFFF"/>
              </w:rPr>
              <w:t> </w:t>
            </w:r>
            <w:r>
              <w:t>beber</w:t>
            </w:r>
            <w:r>
              <w:rPr>
                <w:rFonts w:ascii="Arial Unicode MS" w:eastAsia="Arial Unicode MS" w:hAnsi="Arial Unicode MS" w:cs="Arial Unicode MS" w:hint="eastAsia"/>
                <w:color w:val="000000"/>
                <w:spacing w:val="4"/>
                <w:sz w:val="26"/>
                <w:szCs w:val="26"/>
                <w:shd w:val="clear" w:color="auto" w:fill="FFFFFF"/>
              </w:rPr>
              <w:t>.</w:t>
            </w:r>
            <w:r>
              <w:rPr>
                <w:rFonts w:ascii="Arial Unicode MS" w:eastAsia="Arial Unicode MS" w:hAnsi="Arial Unicode MS" w:cs="Arial Unicode MS"/>
                <w:color w:val="000000"/>
                <w:spacing w:val="4"/>
                <w:sz w:val="26"/>
                <w:szCs w:val="26"/>
                <w:shd w:val="clear" w:color="auto" w:fill="FFFFFF"/>
              </w:rPr>
              <w:t xml:space="preserve"> </w:t>
            </w:r>
          </w:p>
        </w:tc>
        <w:tc>
          <w:tcPr>
            <w:tcW w:w="1998" w:type="dxa"/>
          </w:tcPr>
          <w:p w14:paraId="6A6BB1E2" w14:textId="77777777" w:rsidR="00396608" w:rsidRDefault="00396608" w:rsidP="00396608">
            <w:pPr>
              <w:spacing w:line="240" w:lineRule="auto"/>
            </w:pPr>
          </w:p>
          <w:p w14:paraId="6017747B" w14:textId="40941666" w:rsidR="00396608" w:rsidRDefault="00396608" w:rsidP="00396608">
            <w:pPr>
              <w:spacing w:line="240" w:lineRule="auto"/>
              <w:jc w:val="center"/>
            </w:pPr>
            <w:r>
              <w:t xml:space="preserve">Breve explicación. </w:t>
            </w:r>
          </w:p>
        </w:tc>
        <w:tc>
          <w:tcPr>
            <w:tcW w:w="7230" w:type="dxa"/>
            <w:vAlign w:val="center"/>
          </w:tcPr>
          <w:p w14:paraId="05475F8F" w14:textId="5A2F352A" w:rsidR="00396608" w:rsidRDefault="00396608" w:rsidP="00396608">
            <w:pPr>
              <w:spacing w:line="240" w:lineRule="auto"/>
              <w:jc w:val="center"/>
            </w:pPr>
            <w:hyperlink r:id="rId10" w:history="1">
              <w:r w:rsidRPr="00E45FDA">
                <w:rPr>
                  <w:rStyle w:val="Hipervnculo"/>
                </w:rPr>
                <w:t>https://dle.rae.es/p%C3%B3cima</w:t>
              </w:r>
            </w:hyperlink>
            <w:r>
              <w:t xml:space="preserve"> </w:t>
            </w:r>
          </w:p>
        </w:tc>
      </w:tr>
      <w:tr w:rsidR="00396608" w14:paraId="12D04F00" w14:textId="77777777" w:rsidTr="00396608">
        <w:tc>
          <w:tcPr>
            <w:tcW w:w="1737" w:type="dxa"/>
            <w:vAlign w:val="center"/>
          </w:tcPr>
          <w:p w14:paraId="40928461" w14:textId="56545F0F" w:rsidR="00396608" w:rsidRDefault="00396608" w:rsidP="00396608">
            <w:pPr>
              <w:jc w:val="center"/>
            </w:pPr>
            <w:r>
              <w:t>Granja</w:t>
            </w:r>
          </w:p>
        </w:tc>
        <w:tc>
          <w:tcPr>
            <w:tcW w:w="7605" w:type="dxa"/>
            <w:vAlign w:val="center"/>
          </w:tcPr>
          <w:p w14:paraId="5503A5AB" w14:textId="77777777" w:rsidR="00396608" w:rsidRPr="00CB2B7E" w:rsidRDefault="00396608" w:rsidP="00396608">
            <w:pPr>
              <w:spacing w:line="240" w:lineRule="auto"/>
            </w:pPr>
            <w:r w:rsidRPr="00CB2B7E">
              <w:t>Las granjas son espacios en los cuales el hombre produce diferentes tipos de cultivos y cría animales. Implican el cuidado y manejo del suelo, del agua, la vegetación y de los animales.  </w:t>
            </w:r>
          </w:p>
          <w:p w14:paraId="07F761E6" w14:textId="1E64D58B" w:rsidR="00396608" w:rsidRPr="00CB2B7E" w:rsidRDefault="00396608" w:rsidP="00396608">
            <w:pPr>
              <w:spacing w:line="240" w:lineRule="auto"/>
            </w:pPr>
            <w:r w:rsidRPr="00CB2B7E">
              <w:lastRenderedPageBreak/>
              <w:t>Las granjas generalmente están instaladas en zonas rurales donde el hombre puede trabajar en la cría de animales o en la producción de diferentes cultivos. Cuentan con espacios abiertos al aire libre y espacios cerrados llamados corrales, establos o gallineros. Los animales de granja nos brindan alimentos y nos ayudan con los trabajos pesados (como los caballos y burros).</w:t>
            </w:r>
          </w:p>
          <w:p w14:paraId="4FED561A" w14:textId="6B4299DE" w:rsidR="00396608" w:rsidRPr="00CB2B7E" w:rsidRDefault="00396608" w:rsidP="00396608">
            <w:pPr>
              <w:spacing w:line="240" w:lineRule="auto"/>
            </w:pPr>
            <w:r w:rsidRPr="00CB2B7E">
              <w:t xml:space="preserve"> </w:t>
            </w:r>
          </w:p>
        </w:tc>
        <w:tc>
          <w:tcPr>
            <w:tcW w:w="1998" w:type="dxa"/>
          </w:tcPr>
          <w:p w14:paraId="0C2C2518" w14:textId="77777777" w:rsidR="00396608" w:rsidRDefault="00396608" w:rsidP="00396608">
            <w:pPr>
              <w:spacing w:line="240" w:lineRule="auto"/>
            </w:pPr>
          </w:p>
          <w:p w14:paraId="6D0A9682" w14:textId="1497BBA0" w:rsidR="00396608" w:rsidRDefault="00396608" w:rsidP="00396608">
            <w:pPr>
              <w:spacing w:line="240" w:lineRule="auto"/>
              <w:jc w:val="both"/>
            </w:pPr>
            <w:r>
              <w:t xml:space="preserve">Breve explicación. </w:t>
            </w:r>
          </w:p>
        </w:tc>
        <w:tc>
          <w:tcPr>
            <w:tcW w:w="7230" w:type="dxa"/>
            <w:vAlign w:val="center"/>
          </w:tcPr>
          <w:p w14:paraId="5F0D0D9E" w14:textId="7EDC85EB" w:rsidR="00396608" w:rsidRDefault="00396608" w:rsidP="00396608">
            <w:pPr>
              <w:spacing w:line="240" w:lineRule="auto"/>
              <w:jc w:val="both"/>
            </w:pPr>
            <w:hyperlink r:id="rId11" w:history="1">
              <w:r w:rsidRPr="00E45FDA">
                <w:rPr>
                  <w:rStyle w:val="Hipervnculo"/>
                </w:rPr>
                <w:t>http://intachicos.inta.gob.ar/contenidos</w:t>
              </w:r>
              <w:r w:rsidRPr="00E45FDA">
                <w:rPr>
                  <w:rStyle w:val="Hipervnculo"/>
                </w:rPr>
                <w:br/>
                <w:t>/ficha/granjas-y-animales</w:t>
              </w:r>
            </w:hyperlink>
            <w:r>
              <w:t xml:space="preserve"> </w:t>
            </w:r>
          </w:p>
        </w:tc>
      </w:tr>
      <w:tr w:rsidR="00396608" w14:paraId="7CB2E3B9" w14:textId="77777777" w:rsidTr="00396608">
        <w:tc>
          <w:tcPr>
            <w:tcW w:w="1737" w:type="dxa"/>
            <w:vAlign w:val="center"/>
          </w:tcPr>
          <w:p w14:paraId="04379552" w14:textId="557AEF5E" w:rsidR="00396608" w:rsidRDefault="00396608" w:rsidP="00396608">
            <w:pPr>
              <w:jc w:val="center"/>
            </w:pPr>
            <w:r>
              <w:t>Cría</w:t>
            </w:r>
          </w:p>
        </w:tc>
        <w:tc>
          <w:tcPr>
            <w:tcW w:w="7605" w:type="dxa"/>
            <w:vAlign w:val="center"/>
          </w:tcPr>
          <w:p w14:paraId="636810ED" w14:textId="1737FD31" w:rsidR="00396608" w:rsidRPr="000C3F69" w:rsidRDefault="00396608" w:rsidP="00396608">
            <w:pPr>
              <w:spacing w:line="240" w:lineRule="auto"/>
            </w:pPr>
            <w:r>
              <w:t>Conjunto</w:t>
            </w:r>
            <w:r>
              <w:rPr>
                <w:rFonts w:ascii="Arial Unicode MS" w:eastAsia="Arial Unicode MS" w:hAnsi="Arial Unicode MS" w:cs="Arial Unicode MS" w:hint="eastAsia"/>
                <w:color w:val="000000"/>
                <w:spacing w:val="4"/>
                <w:sz w:val="26"/>
                <w:szCs w:val="26"/>
                <w:shd w:val="clear" w:color="auto" w:fill="FFFFFF"/>
              </w:rPr>
              <w:t> </w:t>
            </w:r>
            <w:r>
              <w:t>de</w:t>
            </w:r>
            <w:r>
              <w:rPr>
                <w:rFonts w:ascii="Arial Unicode MS" w:eastAsia="Arial Unicode MS" w:hAnsi="Arial Unicode MS" w:cs="Arial Unicode MS" w:hint="eastAsia"/>
                <w:color w:val="000000"/>
                <w:spacing w:val="4"/>
                <w:sz w:val="26"/>
                <w:szCs w:val="26"/>
                <w:shd w:val="clear" w:color="auto" w:fill="FFFFFF"/>
              </w:rPr>
              <w:t> </w:t>
            </w:r>
            <w:r>
              <w:t>hijos</w:t>
            </w:r>
            <w:r>
              <w:rPr>
                <w:rFonts w:ascii="Arial Unicode MS" w:eastAsia="Arial Unicode MS" w:hAnsi="Arial Unicode MS" w:cs="Arial Unicode MS" w:hint="eastAsia"/>
                <w:color w:val="000000"/>
                <w:spacing w:val="4"/>
                <w:sz w:val="26"/>
                <w:szCs w:val="26"/>
                <w:shd w:val="clear" w:color="auto" w:fill="FFFFFF"/>
              </w:rPr>
              <w:t> </w:t>
            </w:r>
            <w:r>
              <w:t>que</w:t>
            </w:r>
            <w:r>
              <w:rPr>
                <w:rFonts w:ascii="Arial Unicode MS" w:eastAsia="Arial Unicode MS" w:hAnsi="Arial Unicode MS" w:cs="Arial Unicode MS" w:hint="eastAsia"/>
                <w:color w:val="000000"/>
                <w:spacing w:val="4"/>
                <w:sz w:val="26"/>
                <w:szCs w:val="26"/>
                <w:shd w:val="clear" w:color="auto" w:fill="FFFFFF"/>
              </w:rPr>
              <w:t> </w:t>
            </w:r>
            <w:r>
              <w:t>tienen</w:t>
            </w:r>
            <w:r>
              <w:rPr>
                <w:rFonts w:ascii="Arial Unicode MS" w:eastAsia="Arial Unicode MS" w:hAnsi="Arial Unicode MS" w:cs="Arial Unicode MS" w:hint="eastAsia"/>
                <w:color w:val="000000"/>
                <w:spacing w:val="4"/>
                <w:sz w:val="26"/>
                <w:szCs w:val="26"/>
                <w:shd w:val="clear" w:color="auto" w:fill="FFFFFF"/>
              </w:rPr>
              <w:t> </w:t>
            </w:r>
            <w:r>
              <w:t>de</w:t>
            </w:r>
            <w:r>
              <w:rPr>
                <w:rFonts w:ascii="Arial Unicode MS" w:eastAsia="Arial Unicode MS" w:hAnsi="Arial Unicode MS" w:cs="Arial Unicode MS" w:hint="eastAsia"/>
                <w:color w:val="000000"/>
                <w:spacing w:val="4"/>
                <w:sz w:val="26"/>
                <w:szCs w:val="26"/>
                <w:shd w:val="clear" w:color="auto" w:fill="FFFFFF"/>
              </w:rPr>
              <w:t> </w:t>
            </w:r>
            <w:r>
              <w:t>un</w:t>
            </w:r>
            <w:r>
              <w:rPr>
                <w:rFonts w:ascii="Arial Unicode MS" w:eastAsia="Arial Unicode MS" w:hAnsi="Arial Unicode MS" w:cs="Arial Unicode MS" w:hint="eastAsia"/>
                <w:color w:val="000000"/>
                <w:spacing w:val="4"/>
                <w:sz w:val="26"/>
                <w:szCs w:val="26"/>
                <w:shd w:val="clear" w:color="auto" w:fill="FFFFFF"/>
              </w:rPr>
              <w:t> </w:t>
            </w:r>
            <w:r>
              <w:t>parto</w:t>
            </w:r>
            <w:r>
              <w:rPr>
                <w:rFonts w:ascii="Arial Unicode MS" w:eastAsia="Arial Unicode MS" w:hAnsi="Arial Unicode MS" w:cs="Arial Unicode MS" w:hint="eastAsia"/>
                <w:color w:val="000000"/>
                <w:spacing w:val="4"/>
                <w:sz w:val="26"/>
                <w:szCs w:val="26"/>
                <w:shd w:val="clear" w:color="auto" w:fill="FFFFFF"/>
              </w:rPr>
              <w:t>, </w:t>
            </w:r>
            <w:r>
              <w:t>o</w:t>
            </w:r>
            <w:r>
              <w:rPr>
                <w:rFonts w:ascii="Arial Unicode MS" w:eastAsia="Arial Unicode MS" w:hAnsi="Arial Unicode MS" w:cs="Arial Unicode MS" w:hint="eastAsia"/>
                <w:color w:val="000000"/>
                <w:spacing w:val="4"/>
                <w:sz w:val="26"/>
                <w:szCs w:val="26"/>
                <w:shd w:val="clear" w:color="auto" w:fill="FFFFFF"/>
              </w:rPr>
              <w:t> </w:t>
            </w:r>
            <w:r>
              <w:t>en</w:t>
            </w:r>
            <w:r>
              <w:rPr>
                <w:rFonts w:ascii="Arial Unicode MS" w:eastAsia="Arial Unicode MS" w:hAnsi="Arial Unicode MS" w:cs="Arial Unicode MS" w:hint="eastAsia"/>
                <w:color w:val="000000"/>
                <w:spacing w:val="4"/>
                <w:sz w:val="26"/>
                <w:szCs w:val="26"/>
                <w:shd w:val="clear" w:color="auto" w:fill="FFFFFF"/>
              </w:rPr>
              <w:t> </w:t>
            </w:r>
            <w:r>
              <w:t>un</w:t>
            </w:r>
            <w:r>
              <w:rPr>
                <w:rFonts w:ascii="Arial Unicode MS" w:eastAsia="Arial Unicode MS" w:hAnsi="Arial Unicode MS" w:cs="Arial Unicode MS" w:hint="eastAsia"/>
                <w:color w:val="000000"/>
                <w:spacing w:val="4"/>
                <w:sz w:val="26"/>
                <w:szCs w:val="26"/>
                <w:shd w:val="clear" w:color="auto" w:fill="FFFFFF"/>
              </w:rPr>
              <w:t> </w:t>
            </w:r>
            <w:r>
              <w:t>nido</w:t>
            </w:r>
            <w:r>
              <w:rPr>
                <w:rFonts w:ascii="Arial Unicode MS" w:eastAsia="Arial Unicode MS" w:hAnsi="Arial Unicode MS" w:cs="Arial Unicode MS" w:hint="eastAsia"/>
                <w:color w:val="000000"/>
                <w:spacing w:val="4"/>
                <w:sz w:val="26"/>
                <w:szCs w:val="26"/>
                <w:shd w:val="clear" w:color="auto" w:fill="FFFFFF"/>
              </w:rPr>
              <w:t>, </w:t>
            </w:r>
            <w:r>
              <w:t>los</w:t>
            </w:r>
            <w:r>
              <w:rPr>
                <w:rFonts w:ascii="Arial Unicode MS" w:eastAsia="Arial Unicode MS" w:hAnsi="Arial Unicode MS" w:cs="Arial Unicode MS" w:hint="eastAsia"/>
                <w:color w:val="000000"/>
                <w:spacing w:val="4"/>
                <w:sz w:val="26"/>
                <w:szCs w:val="26"/>
                <w:shd w:val="clear" w:color="auto" w:fill="FFFFFF"/>
              </w:rPr>
              <w:t> </w:t>
            </w:r>
            <w:r>
              <w:t xml:space="preserve">animales </w:t>
            </w:r>
          </w:p>
        </w:tc>
        <w:tc>
          <w:tcPr>
            <w:tcW w:w="1998" w:type="dxa"/>
          </w:tcPr>
          <w:p w14:paraId="1C059B8E" w14:textId="77777777" w:rsidR="00396608" w:rsidRDefault="00396608" w:rsidP="00396608">
            <w:pPr>
              <w:spacing w:line="240" w:lineRule="auto"/>
            </w:pPr>
          </w:p>
          <w:p w14:paraId="1DC71EE7" w14:textId="1E2D536E" w:rsidR="00396608" w:rsidRDefault="00396608" w:rsidP="00396608">
            <w:pPr>
              <w:spacing w:line="240" w:lineRule="auto"/>
              <w:jc w:val="both"/>
            </w:pPr>
            <w:r>
              <w:t xml:space="preserve">Breve explicación. </w:t>
            </w:r>
          </w:p>
        </w:tc>
        <w:tc>
          <w:tcPr>
            <w:tcW w:w="7230" w:type="dxa"/>
            <w:vAlign w:val="center"/>
          </w:tcPr>
          <w:p w14:paraId="2A5E3F66" w14:textId="4A3CE918" w:rsidR="00396608" w:rsidRDefault="00396608" w:rsidP="00396608">
            <w:pPr>
              <w:spacing w:line="240" w:lineRule="auto"/>
              <w:jc w:val="both"/>
            </w:pPr>
            <w:hyperlink r:id="rId12" w:history="1">
              <w:r w:rsidRPr="00E45FDA">
                <w:rPr>
                  <w:rStyle w:val="Hipervnculo"/>
                </w:rPr>
                <w:t>https://dle.rae.es/cr%C3%ADa</w:t>
              </w:r>
            </w:hyperlink>
            <w:r>
              <w:t xml:space="preserve"> </w:t>
            </w:r>
          </w:p>
        </w:tc>
      </w:tr>
      <w:tr w:rsidR="00396608" w14:paraId="406EF2EE" w14:textId="77777777" w:rsidTr="00396608">
        <w:tc>
          <w:tcPr>
            <w:tcW w:w="1737" w:type="dxa"/>
            <w:vAlign w:val="center"/>
          </w:tcPr>
          <w:p w14:paraId="409E5B0D" w14:textId="7FB22928" w:rsidR="00396608" w:rsidRDefault="00396608" w:rsidP="00396608">
            <w:pPr>
              <w:jc w:val="center"/>
            </w:pPr>
            <w:r>
              <w:t xml:space="preserve">Nombres de las crías de animales de la granja </w:t>
            </w:r>
          </w:p>
        </w:tc>
        <w:tc>
          <w:tcPr>
            <w:tcW w:w="7605" w:type="dxa"/>
            <w:vAlign w:val="center"/>
          </w:tcPr>
          <w:p w14:paraId="568F6D49" w14:textId="3E99EA5B" w:rsidR="00396608" w:rsidRDefault="00396608" w:rsidP="00396608">
            <w:pPr>
              <w:spacing w:line="240" w:lineRule="auto"/>
            </w:pPr>
          </w:p>
          <w:p w14:paraId="27AE13A6" w14:textId="454C38A5" w:rsidR="00396608" w:rsidRDefault="00396608" w:rsidP="00396608">
            <w:pPr>
              <w:spacing w:line="240" w:lineRule="auto"/>
            </w:pPr>
            <w:r w:rsidRPr="00E1234B">
              <w:rPr>
                <w:noProof/>
              </w:rPr>
              <w:drawing>
                <wp:anchor distT="0" distB="0" distL="114300" distR="114300" simplePos="0" relativeHeight="251664384" behindDoc="0" locked="0" layoutInCell="1" allowOverlap="1" wp14:anchorId="36F66B83" wp14:editId="2C2F2979">
                  <wp:simplePos x="0" y="0"/>
                  <wp:positionH relativeFrom="column">
                    <wp:posOffset>441325</wp:posOffset>
                  </wp:positionH>
                  <wp:positionV relativeFrom="page">
                    <wp:posOffset>260985</wp:posOffset>
                  </wp:positionV>
                  <wp:extent cx="3860800" cy="276796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60800" cy="2767965"/>
                          </a:xfrm>
                          <a:prstGeom prst="rect">
                            <a:avLst/>
                          </a:prstGeom>
                        </pic:spPr>
                      </pic:pic>
                    </a:graphicData>
                  </a:graphic>
                  <wp14:sizeRelH relativeFrom="margin">
                    <wp14:pctWidth>0</wp14:pctWidth>
                  </wp14:sizeRelH>
                  <wp14:sizeRelV relativeFrom="margin">
                    <wp14:pctHeight>0</wp14:pctHeight>
                  </wp14:sizeRelV>
                </wp:anchor>
              </w:drawing>
            </w:r>
          </w:p>
          <w:p w14:paraId="65EF49F6" w14:textId="7E19F801" w:rsidR="00396608" w:rsidRDefault="00396608" w:rsidP="00396608">
            <w:pPr>
              <w:spacing w:line="240" w:lineRule="auto"/>
            </w:pPr>
          </w:p>
          <w:p w14:paraId="0A4C5E4E" w14:textId="7161351E" w:rsidR="00396608" w:rsidRDefault="00396608" w:rsidP="00396608">
            <w:pPr>
              <w:spacing w:line="240" w:lineRule="auto"/>
            </w:pPr>
          </w:p>
          <w:p w14:paraId="28C59CE1" w14:textId="12748FFF" w:rsidR="00396608" w:rsidRDefault="00396608" w:rsidP="00396608">
            <w:pPr>
              <w:spacing w:line="240" w:lineRule="auto"/>
            </w:pPr>
          </w:p>
          <w:p w14:paraId="2AD3E2E5" w14:textId="3D7B2B66" w:rsidR="00396608" w:rsidRDefault="00396608" w:rsidP="00396608">
            <w:pPr>
              <w:spacing w:line="240" w:lineRule="auto"/>
            </w:pPr>
          </w:p>
          <w:p w14:paraId="252873D8" w14:textId="77777777" w:rsidR="00396608" w:rsidRDefault="00396608" w:rsidP="00396608">
            <w:pPr>
              <w:spacing w:line="240" w:lineRule="auto"/>
            </w:pPr>
          </w:p>
          <w:p w14:paraId="02778550" w14:textId="77777777" w:rsidR="00396608" w:rsidRDefault="00396608" w:rsidP="00396608">
            <w:pPr>
              <w:spacing w:line="240" w:lineRule="auto"/>
            </w:pPr>
          </w:p>
          <w:p w14:paraId="05E8954F" w14:textId="77777777" w:rsidR="00396608" w:rsidRDefault="00396608" w:rsidP="00396608">
            <w:pPr>
              <w:spacing w:line="240" w:lineRule="auto"/>
            </w:pPr>
          </w:p>
          <w:p w14:paraId="1E25B75B" w14:textId="77777777" w:rsidR="00396608" w:rsidRDefault="00396608" w:rsidP="00396608">
            <w:pPr>
              <w:spacing w:line="240" w:lineRule="auto"/>
            </w:pPr>
          </w:p>
          <w:p w14:paraId="6B141095" w14:textId="673E2355" w:rsidR="00396608" w:rsidRDefault="00396608" w:rsidP="00396608">
            <w:pPr>
              <w:spacing w:line="240" w:lineRule="auto"/>
            </w:pPr>
          </w:p>
          <w:p w14:paraId="07034DB2" w14:textId="77777777" w:rsidR="00396608" w:rsidRDefault="00396608" w:rsidP="00396608">
            <w:pPr>
              <w:spacing w:line="240" w:lineRule="auto"/>
            </w:pPr>
          </w:p>
          <w:p w14:paraId="37D96BAE" w14:textId="77777777" w:rsidR="00396608" w:rsidRDefault="00396608" w:rsidP="00396608">
            <w:pPr>
              <w:spacing w:line="240" w:lineRule="auto"/>
            </w:pPr>
          </w:p>
          <w:p w14:paraId="6E54CB96" w14:textId="77777777" w:rsidR="00396608" w:rsidRDefault="00396608" w:rsidP="00396608">
            <w:pPr>
              <w:spacing w:line="240" w:lineRule="auto"/>
            </w:pPr>
          </w:p>
          <w:p w14:paraId="69D5BC34" w14:textId="77777777" w:rsidR="00396608" w:rsidRDefault="00396608" w:rsidP="00396608">
            <w:pPr>
              <w:spacing w:line="240" w:lineRule="auto"/>
            </w:pPr>
          </w:p>
          <w:p w14:paraId="2D57882E" w14:textId="77777777" w:rsidR="00396608" w:rsidRDefault="00396608" w:rsidP="00396608">
            <w:pPr>
              <w:spacing w:line="240" w:lineRule="auto"/>
            </w:pPr>
          </w:p>
          <w:p w14:paraId="0FFA2887" w14:textId="77777777" w:rsidR="00396608" w:rsidRDefault="00396608" w:rsidP="00396608">
            <w:pPr>
              <w:spacing w:line="240" w:lineRule="auto"/>
            </w:pPr>
          </w:p>
          <w:p w14:paraId="600BFF82" w14:textId="77777777" w:rsidR="00396608" w:rsidRDefault="00396608" w:rsidP="00396608">
            <w:pPr>
              <w:spacing w:line="240" w:lineRule="auto"/>
            </w:pPr>
          </w:p>
          <w:p w14:paraId="63C84F8E" w14:textId="77777777" w:rsidR="00396608" w:rsidRDefault="00396608" w:rsidP="00396608">
            <w:pPr>
              <w:spacing w:line="240" w:lineRule="auto"/>
            </w:pPr>
          </w:p>
          <w:p w14:paraId="1617E947" w14:textId="11A4366B" w:rsidR="00396608" w:rsidRPr="000C3F69" w:rsidRDefault="00396608" w:rsidP="00396608">
            <w:pPr>
              <w:spacing w:line="240" w:lineRule="auto"/>
            </w:pPr>
          </w:p>
        </w:tc>
        <w:tc>
          <w:tcPr>
            <w:tcW w:w="1998" w:type="dxa"/>
          </w:tcPr>
          <w:p w14:paraId="4BE66951" w14:textId="77777777" w:rsidR="00396608" w:rsidRDefault="00396608" w:rsidP="00396608">
            <w:pPr>
              <w:spacing w:line="240" w:lineRule="auto"/>
            </w:pPr>
          </w:p>
          <w:p w14:paraId="49302870" w14:textId="616337C4" w:rsidR="00396608" w:rsidRDefault="00396608" w:rsidP="00396608">
            <w:pPr>
              <w:spacing w:line="240" w:lineRule="auto"/>
              <w:jc w:val="both"/>
            </w:pPr>
            <w:r>
              <w:t xml:space="preserve">Breve explicación. </w:t>
            </w:r>
          </w:p>
        </w:tc>
        <w:tc>
          <w:tcPr>
            <w:tcW w:w="7230" w:type="dxa"/>
            <w:vAlign w:val="center"/>
          </w:tcPr>
          <w:p w14:paraId="2E5CFD52" w14:textId="7AF94DF2" w:rsidR="00396608" w:rsidRDefault="00396608" w:rsidP="00396608">
            <w:pPr>
              <w:spacing w:line="240" w:lineRule="auto"/>
              <w:jc w:val="both"/>
            </w:pPr>
            <w:hyperlink r:id="rId14" w:history="1">
              <w:r w:rsidRPr="00E45FDA">
                <w:rPr>
                  <w:rStyle w:val="Hipervnculo"/>
                </w:rPr>
                <w:t>http://intachicos.inta.gob.ar/contenidos/ficha</w:t>
              </w:r>
              <w:r w:rsidRPr="00E45FDA">
                <w:rPr>
                  <w:rStyle w:val="Hipervnculo"/>
                </w:rPr>
                <w:br/>
                <w:t>/Animales-genero-y-voces-</w:t>
              </w:r>
            </w:hyperlink>
            <w:r>
              <w:t xml:space="preserve"> </w:t>
            </w:r>
          </w:p>
        </w:tc>
      </w:tr>
    </w:tbl>
    <w:p w14:paraId="0F4632E7" w14:textId="77777777" w:rsidR="00110498" w:rsidRDefault="00110498"/>
    <w:sectPr w:rsidR="00110498" w:rsidSect="00396608">
      <w:pgSz w:w="20160" w:h="12240" w:orient="landscape" w:code="5"/>
      <w:pgMar w:top="1701" w:right="1417" w:bottom="1701" w:left="1417" w:header="708" w:footer="708" w:gutter="0"/>
      <w:pgBorders w:offsetFrom="page">
        <w:top w:val="threeDEngrave" w:sz="12" w:space="24" w:color="000000" w:themeColor="text1"/>
        <w:left w:val="threeDEngrave" w:sz="12" w:space="24" w:color="000000" w:themeColor="text1"/>
        <w:bottom w:val="threeDEmboss" w:sz="12" w:space="24" w:color="000000" w:themeColor="text1"/>
        <w:right w:val="threeDEmboss"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6D"/>
    <w:rsid w:val="00007909"/>
    <w:rsid w:val="000166A4"/>
    <w:rsid w:val="0010065D"/>
    <w:rsid w:val="00110498"/>
    <w:rsid w:val="001B503A"/>
    <w:rsid w:val="001C5170"/>
    <w:rsid w:val="00303247"/>
    <w:rsid w:val="0035274A"/>
    <w:rsid w:val="00396608"/>
    <w:rsid w:val="003D44F5"/>
    <w:rsid w:val="003E4B5A"/>
    <w:rsid w:val="003E7DC3"/>
    <w:rsid w:val="00642771"/>
    <w:rsid w:val="006750A2"/>
    <w:rsid w:val="006B786D"/>
    <w:rsid w:val="00795904"/>
    <w:rsid w:val="00811919"/>
    <w:rsid w:val="008A03EE"/>
    <w:rsid w:val="00A926B3"/>
    <w:rsid w:val="00BA5131"/>
    <w:rsid w:val="00BE18D9"/>
    <w:rsid w:val="00C807A4"/>
    <w:rsid w:val="00CB2B7E"/>
    <w:rsid w:val="00E1234B"/>
    <w:rsid w:val="00FE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326C"/>
  <w15:chartTrackingRefBased/>
  <w15:docId w15:val="{91D89201-84ED-4599-AFC2-5B2EFED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6D"/>
    <w:pPr>
      <w:spacing w:line="360" w:lineRule="auto"/>
    </w:pPr>
    <w:rPr>
      <w:rFonts w:ascii="Arial" w:hAnsi="Arial"/>
      <w:sz w:val="24"/>
    </w:rPr>
  </w:style>
  <w:style w:type="paragraph" w:styleId="Ttulo1">
    <w:name w:val="heading 1"/>
    <w:basedOn w:val="Normal"/>
    <w:next w:val="Normal"/>
    <w:link w:val="Ttulo1Car"/>
    <w:autoRedefine/>
    <w:uiPriority w:val="9"/>
    <w:qFormat/>
    <w:rsid w:val="00A926B3"/>
    <w:pPr>
      <w:keepNext/>
      <w:keepLines/>
      <w:spacing w:after="0" w:line="240" w:lineRule="auto"/>
      <w:jc w:val="both"/>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795904"/>
    <w:pPr>
      <w:keepNext/>
      <w:keepLines/>
      <w:spacing w:before="40" w:after="0" w:line="259" w:lineRule="auto"/>
      <w:outlineLvl w:val="1"/>
    </w:pPr>
    <w:rPr>
      <w:rFonts w:eastAsiaTheme="majorEastAsia" w:cstheme="majorBidi"/>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line="240" w:lineRule="auto"/>
      <w:jc w:val="both"/>
      <w:outlineLvl w:val="2"/>
    </w:pPr>
    <w:rPr>
      <w:rFonts w:eastAsiaTheme="majorEastAsia"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spacing w:line="240" w:lineRule="auto"/>
      <w:jc w:val="both"/>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795904"/>
    <w:rPr>
      <w:rFonts w:ascii="Arial" w:eastAsiaTheme="majorEastAsia" w:hAnsi="Arial" w:cstheme="majorBidi"/>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table" w:styleId="Tablaconcuadrcula">
    <w:name w:val="Table Grid"/>
    <w:basedOn w:val="Tablanormal"/>
    <w:uiPriority w:val="39"/>
    <w:rsid w:val="006B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786D"/>
    <w:pPr>
      <w:spacing w:before="100" w:beforeAutospacing="1" w:after="100" w:afterAutospacing="1" w:line="240" w:lineRule="auto"/>
    </w:pPr>
    <w:rPr>
      <w:rFonts w:ascii="Times New Roman" w:eastAsia="Times New Roman" w:hAnsi="Times New Roman" w:cs="Times New Roman"/>
      <w:szCs w:val="24"/>
      <w:lang w:eastAsia="es-MX"/>
    </w:rPr>
  </w:style>
  <w:style w:type="character" w:styleId="Hipervnculo">
    <w:name w:val="Hyperlink"/>
    <w:basedOn w:val="Fuentedeprrafopredeter"/>
    <w:uiPriority w:val="99"/>
    <w:unhideWhenUsed/>
    <w:rsid w:val="006B786D"/>
    <w:rPr>
      <w:color w:val="0563C1" w:themeColor="hyperlink"/>
      <w:u w:val="single"/>
    </w:rPr>
  </w:style>
  <w:style w:type="character" w:styleId="Textoennegrita">
    <w:name w:val="Strong"/>
    <w:basedOn w:val="Fuentedeprrafopredeter"/>
    <w:uiPriority w:val="22"/>
    <w:qFormat/>
    <w:rsid w:val="00303247"/>
    <w:rPr>
      <w:b/>
      <w:bCs/>
    </w:rPr>
  </w:style>
  <w:style w:type="character" w:styleId="Mencinsinresolver">
    <w:name w:val="Unresolved Mention"/>
    <w:basedOn w:val="Fuentedeprrafopredeter"/>
    <w:uiPriority w:val="99"/>
    <w:semiHidden/>
    <w:unhideWhenUsed/>
    <w:rsid w:val="00303247"/>
    <w:rPr>
      <w:color w:val="605E5C"/>
      <w:shd w:val="clear" w:color="auto" w:fill="E1DFDD"/>
    </w:rPr>
  </w:style>
  <w:style w:type="character" w:styleId="Hipervnculovisitado">
    <w:name w:val="FollowedHyperlink"/>
    <w:basedOn w:val="Fuentedeprrafopredeter"/>
    <w:uiPriority w:val="99"/>
    <w:semiHidden/>
    <w:unhideWhenUsed/>
    <w:rsid w:val="00303247"/>
    <w:rPr>
      <w:color w:val="954F72" w:themeColor="followedHyperlink"/>
      <w:u w:val="single"/>
    </w:rPr>
  </w:style>
  <w:style w:type="character" w:customStyle="1" w:styleId="baj">
    <w:name w:val="baj"/>
    <w:basedOn w:val="Fuentedeprrafopredeter"/>
    <w:rsid w:val="00CB2B7E"/>
  </w:style>
  <w:style w:type="character" w:styleId="nfasis">
    <w:name w:val="Emphasis"/>
    <w:basedOn w:val="Fuentedeprrafopredeter"/>
    <w:uiPriority w:val="20"/>
    <w:qFormat/>
    <w:rsid w:val="00CB2B7E"/>
    <w:rPr>
      <w:i/>
      <w:iCs/>
    </w:rPr>
  </w:style>
  <w:style w:type="character" w:customStyle="1" w:styleId="par">
    <w:name w:val="par"/>
    <w:basedOn w:val="Fuentedeprrafopredeter"/>
    <w:rsid w:val="00CB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1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necc.gob.mx/publicaciones2/libros/717/cap13.pdf"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definicionabc.com/general/consecuencia.php" TargetMode="External"/><Relationship Id="rId12" Type="http://schemas.openxmlformats.org/officeDocument/2006/relationships/hyperlink" Target="https://dle.rae.es/cr%C3%A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efinicionabc.com/general/moral.php" TargetMode="External"/><Relationship Id="rId11" Type="http://schemas.openxmlformats.org/officeDocument/2006/relationships/hyperlink" Target="http://intachicos.inta.gob.ar/contenidos/ficha/granjas-y-animale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dle.rae.es/p%C3%B3cima" TargetMode="External"/><Relationship Id="rId4" Type="http://schemas.openxmlformats.org/officeDocument/2006/relationships/webSettings" Target="webSettings.xml"/><Relationship Id="rId9" Type="http://schemas.openxmlformats.org/officeDocument/2006/relationships/hyperlink" Target="https://www.smartick.es/blog/matematicas/medidas-y-datos/medidas-de-capacidad/" TargetMode="External"/><Relationship Id="rId14" Type="http://schemas.openxmlformats.org/officeDocument/2006/relationships/hyperlink" Target="http://intachicos.inta.gob.ar/contenidos/ficha/Animales-genero-y-vo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C766-26B3-4F31-98FF-A8418A1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Nelly Nuñez </cp:lastModifiedBy>
  <cp:revision>9</cp:revision>
  <dcterms:created xsi:type="dcterms:W3CDTF">2021-06-13T07:35:00Z</dcterms:created>
  <dcterms:modified xsi:type="dcterms:W3CDTF">2021-06-13T09:10:00Z</dcterms:modified>
</cp:coreProperties>
</file>