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D0A2" w14:textId="77777777" w:rsidR="003021B7" w:rsidRDefault="003021B7" w:rsidP="003021B7">
      <w:r>
        <w:rPr>
          <w:noProof/>
        </w:rPr>
        <w:drawing>
          <wp:anchor distT="0" distB="0" distL="114300" distR="114300" simplePos="0" relativeHeight="251659264" behindDoc="1" locked="0" layoutInCell="1" allowOverlap="1" wp14:anchorId="466A6ECF" wp14:editId="7C29D868">
            <wp:simplePos x="0" y="0"/>
            <wp:positionH relativeFrom="page">
              <wp:posOffset>552450</wp:posOffset>
            </wp:positionH>
            <wp:positionV relativeFrom="paragraph">
              <wp:posOffset>0</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23FF9FAF" w14:textId="77777777" w:rsidR="003021B7" w:rsidRDefault="003021B7" w:rsidP="003021B7">
      <w:pPr>
        <w:rPr>
          <w:rFonts w:ascii="Arial" w:hAnsi="Arial" w:cs="Arial"/>
          <w:b/>
          <w:bCs/>
          <w:sz w:val="40"/>
          <w:szCs w:val="40"/>
        </w:rPr>
      </w:pPr>
      <w:r>
        <w:rPr>
          <w:rFonts w:ascii="Arial" w:hAnsi="Arial" w:cs="Arial"/>
          <w:b/>
          <w:bCs/>
          <w:sz w:val="40"/>
          <w:szCs w:val="40"/>
        </w:rPr>
        <w:t xml:space="preserve">       </w:t>
      </w:r>
      <w:r w:rsidRPr="00B0717E">
        <w:rPr>
          <w:rFonts w:ascii="Arial" w:hAnsi="Arial" w:cs="Arial"/>
          <w:b/>
          <w:bCs/>
          <w:sz w:val="40"/>
          <w:szCs w:val="40"/>
        </w:rPr>
        <w:t>Escuela Normal de Educación Preescolar.</w:t>
      </w:r>
    </w:p>
    <w:p w14:paraId="209DC555" w14:textId="77777777" w:rsidR="003021B7" w:rsidRDefault="003021B7" w:rsidP="003021B7">
      <w:pPr>
        <w:rPr>
          <w:rFonts w:ascii="Arial" w:hAnsi="Arial" w:cs="Arial"/>
          <w:b/>
          <w:bCs/>
          <w:sz w:val="40"/>
          <w:szCs w:val="40"/>
        </w:rPr>
      </w:pPr>
      <w:r>
        <w:rPr>
          <w:rFonts w:ascii="Arial" w:hAnsi="Arial" w:cs="Arial"/>
          <w:b/>
          <w:bCs/>
          <w:sz w:val="40"/>
          <w:szCs w:val="40"/>
        </w:rPr>
        <w:t xml:space="preserve">          </w:t>
      </w:r>
      <w:r w:rsidRPr="00B0717E">
        <w:rPr>
          <w:rFonts w:ascii="Arial" w:hAnsi="Arial" w:cs="Arial"/>
          <w:b/>
          <w:bCs/>
          <w:sz w:val="40"/>
          <w:szCs w:val="40"/>
        </w:rPr>
        <w:t>Licenciatura en Educación Preescolar.</w:t>
      </w:r>
    </w:p>
    <w:p w14:paraId="5FA80FAA" w14:textId="77777777" w:rsidR="003021B7" w:rsidRPr="00B0717E" w:rsidRDefault="003021B7" w:rsidP="003021B7">
      <w:pPr>
        <w:jc w:val="center"/>
        <w:rPr>
          <w:rFonts w:ascii="Arial" w:hAnsi="Arial" w:cs="Arial"/>
          <w:b/>
          <w:bCs/>
          <w:sz w:val="40"/>
          <w:szCs w:val="40"/>
        </w:rPr>
      </w:pPr>
    </w:p>
    <w:p w14:paraId="4D6DD907" w14:textId="77777777" w:rsidR="003021B7" w:rsidRPr="00BE28C5" w:rsidRDefault="003021B7" w:rsidP="003021B7">
      <w:pPr>
        <w:jc w:val="center"/>
        <w:rPr>
          <w:rFonts w:ascii="Arial" w:hAnsi="Arial" w:cs="Arial"/>
          <w:b/>
          <w:bCs/>
          <w:sz w:val="36"/>
          <w:szCs w:val="36"/>
        </w:rPr>
      </w:pPr>
      <w:r w:rsidRPr="00BE28C5">
        <w:rPr>
          <w:rFonts w:ascii="Arial" w:hAnsi="Arial" w:cs="Arial"/>
          <w:b/>
          <w:bCs/>
          <w:sz w:val="36"/>
          <w:szCs w:val="36"/>
        </w:rPr>
        <w:t>Forma, espacio y medida.</w:t>
      </w:r>
    </w:p>
    <w:p w14:paraId="0A2BCD71" w14:textId="77777777" w:rsidR="003021B7" w:rsidRPr="00BE28C5" w:rsidRDefault="003021B7" w:rsidP="003021B7">
      <w:pPr>
        <w:jc w:val="center"/>
        <w:rPr>
          <w:rFonts w:ascii="Arial" w:hAnsi="Arial" w:cs="Arial"/>
          <w:b/>
          <w:bCs/>
          <w:sz w:val="36"/>
          <w:szCs w:val="36"/>
        </w:rPr>
      </w:pPr>
      <w:r w:rsidRPr="00BE28C5">
        <w:rPr>
          <w:rFonts w:ascii="Arial" w:hAnsi="Arial" w:cs="Arial"/>
          <w:b/>
          <w:bCs/>
          <w:sz w:val="36"/>
          <w:szCs w:val="36"/>
        </w:rPr>
        <w:t xml:space="preserve">Maestra: Oralia Gabriela Palmares Villareal. </w:t>
      </w:r>
    </w:p>
    <w:p w14:paraId="4D75311B" w14:textId="77777777" w:rsidR="003021B7" w:rsidRPr="00BE28C5" w:rsidRDefault="003021B7" w:rsidP="003021B7">
      <w:pPr>
        <w:jc w:val="center"/>
        <w:rPr>
          <w:rFonts w:ascii="Arial" w:hAnsi="Arial" w:cs="Arial"/>
          <w:b/>
          <w:bCs/>
          <w:sz w:val="36"/>
          <w:szCs w:val="36"/>
        </w:rPr>
      </w:pPr>
    </w:p>
    <w:p w14:paraId="23E9B679" w14:textId="77777777" w:rsidR="003021B7" w:rsidRPr="00BE28C5" w:rsidRDefault="003021B7" w:rsidP="003021B7">
      <w:pPr>
        <w:jc w:val="center"/>
        <w:rPr>
          <w:rFonts w:ascii="Arial" w:hAnsi="Arial" w:cs="Arial"/>
          <w:b/>
          <w:bCs/>
          <w:sz w:val="36"/>
          <w:szCs w:val="36"/>
        </w:rPr>
      </w:pPr>
      <w:r w:rsidRPr="00BE28C5">
        <w:rPr>
          <w:rFonts w:ascii="Arial" w:hAnsi="Arial" w:cs="Arial"/>
          <w:b/>
          <w:bCs/>
          <w:sz w:val="36"/>
          <w:szCs w:val="36"/>
        </w:rPr>
        <w:t xml:space="preserve">Alumna: </w:t>
      </w:r>
      <w:proofErr w:type="spellStart"/>
      <w:r w:rsidRPr="00BE28C5">
        <w:rPr>
          <w:rFonts w:ascii="Arial" w:hAnsi="Arial" w:cs="Arial"/>
          <w:b/>
          <w:bCs/>
          <w:sz w:val="36"/>
          <w:szCs w:val="36"/>
        </w:rPr>
        <w:t>Angélyca</w:t>
      </w:r>
      <w:proofErr w:type="spellEnd"/>
      <w:r w:rsidRPr="00BE28C5">
        <w:rPr>
          <w:rFonts w:ascii="Arial" w:hAnsi="Arial" w:cs="Arial"/>
          <w:b/>
          <w:bCs/>
          <w:sz w:val="36"/>
          <w:szCs w:val="36"/>
        </w:rPr>
        <w:t xml:space="preserve"> Pamela Rodríguez de la Peña.</w:t>
      </w:r>
    </w:p>
    <w:p w14:paraId="5809F561" w14:textId="77777777" w:rsidR="003021B7" w:rsidRPr="00BE28C5" w:rsidRDefault="003021B7" w:rsidP="003021B7">
      <w:pPr>
        <w:jc w:val="center"/>
        <w:rPr>
          <w:rFonts w:ascii="Arial" w:hAnsi="Arial" w:cs="Arial"/>
          <w:b/>
          <w:bCs/>
          <w:sz w:val="36"/>
          <w:szCs w:val="36"/>
        </w:rPr>
      </w:pPr>
      <w:r w:rsidRPr="00BE28C5">
        <w:rPr>
          <w:rFonts w:ascii="Arial" w:hAnsi="Arial" w:cs="Arial"/>
          <w:b/>
          <w:bCs/>
          <w:sz w:val="36"/>
          <w:szCs w:val="36"/>
        </w:rPr>
        <w:t>Segundo semestre.       Sección C.</w:t>
      </w:r>
    </w:p>
    <w:p w14:paraId="111777A3" w14:textId="77777777" w:rsidR="003021B7" w:rsidRPr="00BE28C5" w:rsidRDefault="003021B7" w:rsidP="003021B7">
      <w:pPr>
        <w:jc w:val="center"/>
        <w:rPr>
          <w:rFonts w:ascii="Arial" w:hAnsi="Arial" w:cs="Arial"/>
          <w:b/>
          <w:bCs/>
          <w:sz w:val="36"/>
          <w:szCs w:val="36"/>
        </w:rPr>
      </w:pPr>
    </w:p>
    <w:p w14:paraId="02CADA0B" w14:textId="703687C4" w:rsidR="003021B7" w:rsidRPr="00BE28C5" w:rsidRDefault="003021B7" w:rsidP="003021B7">
      <w:pPr>
        <w:jc w:val="center"/>
        <w:rPr>
          <w:rFonts w:ascii="Arial" w:hAnsi="Arial" w:cs="Arial"/>
          <w:b/>
          <w:bCs/>
          <w:sz w:val="36"/>
          <w:szCs w:val="36"/>
        </w:rPr>
      </w:pPr>
      <w:r>
        <w:rPr>
          <w:rFonts w:ascii="Arial" w:hAnsi="Arial" w:cs="Arial"/>
          <w:b/>
          <w:bCs/>
          <w:sz w:val="36"/>
          <w:szCs w:val="36"/>
        </w:rPr>
        <w:t xml:space="preserve">Matriz de observación. </w:t>
      </w:r>
    </w:p>
    <w:p w14:paraId="3B1B94EA" w14:textId="77777777" w:rsidR="003021B7" w:rsidRDefault="003021B7" w:rsidP="003021B7">
      <w:pPr>
        <w:jc w:val="center"/>
        <w:rPr>
          <w:rFonts w:ascii="Arial" w:hAnsi="Arial" w:cs="Arial"/>
          <w:b/>
          <w:bCs/>
          <w:sz w:val="40"/>
          <w:szCs w:val="40"/>
        </w:rPr>
      </w:pPr>
    </w:p>
    <w:p w14:paraId="2C2CA256" w14:textId="528C0121" w:rsidR="003021B7" w:rsidRPr="00BE28C5" w:rsidRDefault="003021B7" w:rsidP="003021B7">
      <w:pPr>
        <w:jc w:val="center"/>
        <w:rPr>
          <w:rFonts w:ascii="Arial" w:hAnsi="Arial" w:cs="Arial"/>
          <w:b/>
          <w:bCs/>
          <w:sz w:val="32"/>
          <w:szCs w:val="32"/>
        </w:rPr>
      </w:pPr>
      <w:r>
        <w:rPr>
          <w:rFonts w:ascii="Arial" w:hAnsi="Arial" w:cs="Arial"/>
          <w:b/>
          <w:bCs/>
          <w:sz w:val="32"/>
          <w:szCs w:val="32"/>
        </w:rPr>
        <w:t>Junio</w:t>
      </w:r>
      <w:r w:rsidRPr="00BE28C5">
        <w:rPr>
          <w:rFonts w:ascii="Arial" w:hAnsi="Arial" w:cs="Arial"/>
          <w:b/>
          <w:bCs/>
          <w:sz w:val="32"/>
          <w:szCs w:val="32"/>
        </w:rPr>
        <w:t xml:space="preserve"> del 2021.</w:t>
      </w:r>
    </w:p>
    <w:p w14:paraId="475C991B" w14:textId="27C872AC" w:rsidR="003021B7" w:rsidRDefault="003021B7" w:rsidP="003021B7">
      <w:pPr>
        <w:jc w:val="center"/>
        <w:rPr>
          <w:rFonts w:ascii="Arial" w:hAnsi="Arial" w:cs="Arial"/>
          <w:b/>
          <w:bCs/>
          <w:sz w:val="32"/>
          <w:szCs w:val="32"/>
        </w:rPr>
      </w:pPr>
      <w:r w:rsidRPr="00BE28C5">
        <w:rPr>
          <w:rFonts w:ascii="Arial" w:hAnsi="Arial" w:cs="Arial"/>
          <w:b/>
          <w:bCs/>
          <w:sz w:val="32"/>
          <w:szCs w:val="32"/>
        </w:rPr>
        <w:t>Saltillo, Coahuila, México.</w:t>
      </w:r>
    </w:p>
    <w:tbl>
      <w:tblPr>
        <w:tblStyle w:val="Tablaconcuadrcula"/>
        <w:tblpPr w:leftFromText="141" w:rightFromText="141" w:vertAnchor="page" w:horzAnchor="margin" w:tblpXSpec="center" w:tblpY="1111"/>
        <w:tblW w:w="14606" w:type="dxa"/>
        <w:tblLook w:val="04A0" w:firstRow="1" w:lastRow="0" w:firstColumn="1" w:lastColumn="0" w:noHBand="0" w:noVBand="1"/>
      </w:tblPr>
      <w:tblGrid>
        <w:gridCol w:w="2689"/>
        <w:gridCol w:w="2835"/>
        <w:gridCol w:w="2693"/>
        <w:gridCol w:w="6389"/>
      </w:tblGrid>
      <w:tr w:rsidR="003021B7" w:rsidRPr="003021B7" w14:paraId="602E9DBF" w14:textId="77777777" w:rsidTr="003021B7">
        <w:tc>
          <w:tcPr>
            <w:tcW w:w="2689" w:type="dxa"/>
            <w:shd w:val="clear" w:color="auto" w:fill="5B9BD5" w:themeFill="accent5"/>
          </w:tcPr>
          <w:p w14:paraId="75FD76E8" w14:textId="77777777" w:rsidR="003021B7" w:rsidRPr="003021B7" w:rsidRDefault="003021B7" w:rsidP="003021B7">
            <w:pPr>
              <w:jc w:val="center"/>
              <w:rPr>
                <w:rFonts w:ascii="Century Gothic" w:hAnsi="Century Gothic"/>
                <w:b/>
                <w:bCs/>
                <w:sz w:val="24"/>
                <w:szCs w:val="24"/>
              </w:rPr>
            </w:pPr>
            <w:r w:rsidRPr="003021B7">
              <w:rPr>
                <w:rFonts w:ascii="Century Gothic" w:hAnsi="Century Gothic"/>
                <w:b/>
                <w:bCs/>
                <w:sz w:val="24"/>
                <w:szCs w:val="24"/>
              </w:rPr>
              <w:lastRenderedPageBreak/>
              <w:t>Análisis especulativo</w:t>
            </w:r>
          </w:p>
          <w:p w14:paraId="17C78C3C" w14:textId="77777777" w:rsidR="003021B7" w:rsidRPr="003021B7" w:rsidRDefault="003021B7" w:rsidP="003021B7">
            <w:pPr>
              <w:jc w:val="center"/>
              <w:rPr>
                <w:rFonts w:ascii="Century Gothic" w:hAnsi="Century Gothic"/>
                <w:b/>
                <w:bCs/>
                <w:sz w:val="24"/>
                <w:szCs w:val="24"/>
              </w:rPr>
            </w:pPr>
            <w:r w:rsidRPr="003021B7">
              <w:rPr>
                <w:rFonts w:ascii="Century Gothic" w:hAnsi="Century Gothic"/>
                <w:b/>
                <w:bCs/>
                <w:sz w:val="24"/>
                <w:szCs w:val="24"/>
              </w:rPr>
              <w:t>¿qué pasa aquí?</w:t>
            </w:r>
          </w:p>
        </w:tc>
        <w:tc>
          <w:tcPr>
            <w:tcW w:w="2835" w:type="dxa"/>
            <w:shd w:val="clear" w:color="auto" w:fill="5B9BD5" w:themeFill="accent5"/>
          </w:tcPr>
          <w:p w14:paraId="5D5B8747" w14:textId="77777777" w:rsidR="003021B7" w:rsidRPr="003021B7" w:rsidRDefault="003021B7" w:rsidP="003021B7">
            <w:pPr>
              <w:jc w:val="center"/>
              <w:rPr>
                <w:rFonts w:ascii="Century Gothic" w:hAnsi="Century Gothic"/>
                <w:b/>
                <w:bCs/>
                <w:sz w:val="24"/>
                <w:szCs w:val="24"/>
              </w:rPr>
            </w:pPr>
            <w:r w:rsidRPr="003021B7">
              <w:rPr>
                <w:rFonts w:ascii="Century Gothic" w:hAnsi="Century Gothic"/>
                <w:b/>
                <w:bCs/>
                <w:sz w:val="24"/>
                <w:szCs w:val="24"/>
              </w:rPr>
              <w:t>¿Qué aprendizaje tuvo el alumno al abordar las actividades?</w:t>
            </w:r>
          </w:p>
        </w:tc>
        <w:tc>
          <w:tcPr>
            <w:tcW w:w="2693" w:type="dxa"/>
            <w:shd w:val="clear" w:color="auto" w:fill="5B9BD5" w:themeFill="accent5"/>
          </w:tcPr>
          <w:p w14:paraId="1B619273" w14:textId="77777777" w:rsidR="003021B7" w:rsidRPr="003021B7" w:rsidRDefault="003021B7" w:rsidP="003021B7">
            <w:pPr>
              <w:jc w:val="center"/>
              <w:rPr>
                <w:rFonts w:ascii="Century Gothic" w:hAnsi="Century Gothic"/>
                <w:b/>
                <w:bCs/>
                <w:sz w:val="24"/>
                <w:szCs w:val="24"/>
              </w:rPr>
            </w:pPr>
            <w:r w:rsidRPr="003021B7">
              <w:rPr>
                <w:rFonts w:ascii="Century Gothic" w:hAnsi="Century Gothic"/>
                <w:b/>
                <w:bCs/>
                <w:sz w:val="24"/>
                <w:szCs w:val="24"/>
              </w:rPr>
              <w:t>¿Qué dificultades tuvo el alumno al abordar las actividades?</w:t>
            </w:r>
          </w:p>
        </w:tc>
        <w:tc>
          <w:tcPr>
            <w:tcW w:w="6389" w:type="dxa"/>
            <w:shd w:val="clear" w:color="auto" w:fill="5B9BD5" w:themeFill="accent5"/>
          </w:tcPr>
          <w:p w14:paraId="093C0F96" w14:textId="77777777" w:rsidR="003021B7" w:rsidRPr="003021B7" w:rsidRDefault="003021B7" w:rsidP="003021B7">
            <w:pPr>
              <w:jc w:val="center"/>
              <w:rPr>
                <w:rFonts w:ascii="Century Gothic" w:hAnsi="Century Gothic"/>
                <w:b/>
                <w:bCs/>
                <w:sz w:val="24"/>
                <w:szCs w:val="24"/>
              </w:rPr>
            </w:pPr>
            <w:r w:rsidRPr="003021B7">
              <w:rPr>
                <w:rFonts w:ascii="Century Gothic" w:hAnsi="Century Gothic"/>
                <w:b/>
                <w:bCs/>
                <w:sz w:val="24"/>
                <w:szCs w:val="24"/>
              </w:rPr>
              <w:t>Referentes teóricos</w:t>
            </w:r>
          </w:p>
        </w:tc>
      </w:tr>
      <w:tr w:rsidR="003021B7" w:rsidRPr="003021B7" w14:paraId="30128B9E" w14:textId="77777777" w:rsidTr="003021B7">
        <w:tc>
          <w:tcPr>
            <w:tcW w:w="2689" w:type="dxa"/>
            <w:shd w:val="clear" w:color="auto" w:fill="DEEAF6" w:themeFill="accent5" w:themeFillTint="33"/>
          </w:tcPr>
          <w:p w14:paraId="77668153" w14:textId="77777777" w:rsidR="003021B7" w:rsidRPr="003021B7" w:rsidRDefault="003021B7" w:rsidP="003021B7">
            <w:pPr>
              <w:jc w:val="center"/>
              <w:rPr>
                <w:rFonts w:ascii="Century Gothic" w:hAnsi="Century Gothic"/>
                <w:sz w:val="24"/>
                <w:szCs w:val="24"/>
              </w:rPr>
            </w:pPr>
            <w:r w:rsidRPr="003021B7">
              <w:rPr>
                <w:rFonts w:ascii="Century Gothic" w:hAnsi="Century Gothic"/>
                <w:sz w:val="24"/>
                <w:szCs w:val="24"/>
              </w:rPr>
              <w:t>La educadora da indicaciones a los niños acerca de las medidas de maicena, agua y colorante que utilizarán para su experimento.</w:t>
            </w:r>
          </w:p>
          <w:p w14:paraId="327C3E4C" w14:textId="77777777" w:rsidR="003021B7" w:rsidRPr="003021B7" w:rsidRDefault="003021B7" w:rsidP="003021B7">
            <w:pPr>
              <w:jc w:val="center"/>
              <w:rPr>
                <w:rFonts w:ascii="Century Gothic" w:hAnsi="Century Gothic"/>
                <w:sz w:val="24"/>
                <w:szCs w:val="24"/>
              </w:rPr>
            </w:pPr>
            <w:r w:rsidRPr="003021B7">
              <w:rPr>
                <w:rFonts w:ascii="Century Gothic" w:hAnsi="Century Gothic"/>
                <w:sz w:val="24"/>
                <w:szCs w:val="24"/>
              </w:rPr>
              <w:t xml:space="preserve">En algunas ocasiones se menciona “un vaso de agua” “ocho gotas de colorante” sin embargo, en el resto de la clase se utilizó un vocabulario como “poquito colorante” “échale más” “échale menos agua” sin especificar exactamente </w:t>
            </w:r>
            <w:proofErr w:type="spellStart"/>
            <w:r w:rsidRPr="003021B7">
              <w:rPr>
                <w:rFonts w:ascii="Century Gothic" w:hAnsi="Century Gothic"/>
                <w:sz w:val="24"/>
                <w:szCs w:val="24"/>
              </w:rPr>
              <w:t>que</w:t>
            </w:r>
            <w:proofErr w:type="spellEnd"/>
            <w:r w:rsidRPr="003021B7">
              <w:rPr>
                <w:rFonts w:ascii="Century Gothic" w:hAnsi="Century Gothic"/>
                <w:sz w:val="24"/>
                <w:szCs w:val="24"/>
              </w:rPr>
              <w:t xml:space="preserve"> medidas.</w:t>
            </w:r>
          </w:p>
        </w:tc>
        <w:tc>
          <w:tcPr>
            <w:tcW w:w="2835" w:type="dxa"/>
            <w:shd w:val="clear" w:color="auto" w:fill="DEEAF6" w:themeFill="accent5" w:themeFillTint="33"/>
          </w:tcPr>
          <w:p w14:paraId="636EA7DF" w14:textId="77777777" w:rsidR="003021B7" w:rsidRPr="003021B7" w:rsidRDefault="003021B7" w:rsidP="003021B7">
            <w:pPr>
              <w:jc w:val="center"/>
              <w:rPr>
                <w:rFonts w:ascii="Century Gothic" w:hAnsi="Century Gothic"/>
                <w:sz w:val="24"/>
                <w:szCs w:val="24"/>
              </w:rPr>
            </w:pPr>
            <w:r w:rsidRPr="003021B7">
              <w:rPr>
                <w:rFonts w:ascii="Century Gothic" w:hAnsi="Century Gothic"/>
                <w:sz w:val="24"/>
                <w:szCs w:val="24"/>
              </w:rPr>
              <w:t xml:space="preserve">Al tratarse de un experimento, en el campo de pensamiento matemático pudiera decirse que el niño pudo usar unidades no convencionales para medir la capacidad con distintos propósitos, sin embargo, no me quedó claro </w:t>
            </w:r>
            <w:proofErr w:type="spellStart"/>
            <w:r w:rsidRPr="003021B7">
              <w:rPr>
                <w:rFonts w:ascii="Century Gothic" w:hAnsi="Century Gothic"/>
                <w:sz w:val="24"/>
                <w:szCs w:val="24"/>
              </w:rPr>
              <w:t>cual</w:t>
            </w:r>
            <w:proofErr w:type="spellEnd"/>
            <w:r w:rsidRPr="003021B7">
              <w:rPr>
                <w:rFonts w:ascii="Century Gothic" w:hAnsi="Century Gothic"/>
                <w:sz w:val="24"/>
                <w:szCs w:val="24"/>
              </w:rPr>
              <w:t xml:space="preserve"> sería el propósito en este campo utilizado o enfocado en el experimento.</w:t>
            </w:r>
          </w:p>
        </w:tc>
        <w:tc>
          <w:tcPr>
            <w:tcW w:w="2693" w:type="dxa"/>
            <w:shd w:val="clear" w:color="auto" w:fill="DEEAF6" w:themeFill="accent5" w:themeFillTint="33"/>
          </w:tcPr>
          <w:p w14:paraId="272B140B" w14:textId="77777777" w:rsidR="003021B7" w:rsidRPr="003021B7" w:rsidRDefault="003021B7" w:rsidP="003021B7">
            <w:pPr>
              <w:jc w:val="center"/>
              <w:rPr>
                <w:rFonts w:ascii="Century Gothic" w:hAnsi="Century Gothic"/>
                <w:sz w:val="24"/>
                <w:szCs w:val="24"/>
              </w:rPr>
            </w:pPr>
            <w:r w:rsidRPr="003021B7">
              <w:rPr>
                <w:rFonts w:ascii="Century Gothic" w:hAnsi="Century Gothic"/>
                <w:sz w:val="24"/>
                <w:szCs w:val="24"/>
              </w:rPr>
              <w:t>En cuanto al campo de pensamiento matemático algunos tuvieron dificultades con las medidas, porque no utilizaban la taza o la cuchara, o el conteo para las gotas del colorante, y utilizaban una medición al tanteo.</w:t>
            </w:r>
          </w:p>
        </w:tc>
        <w:tc>
          <w:tcPr>
            <w:tcW w:w="6389" w:type="dxa"/>
            <w:shd w:val="clear" w:color="auto" w:fill="DEEAF6" w:themeFill="accent5" w:themeFillTint="33"/>
          </w:tcPr>
          <w:p w14:paraId="3AACB167" w14:textId="77777777" w:rsidR="003021B7" w:rsidRPr="003021B7" w:rsidRDefault="003021B7" w:rsidP="003021B7">
            <w:pPr>
              <w:rPr>
                <w:rFonts w:ascii="Century Gothic" w:hAnsi="Century Gothic"/>
                <w:sz w:val="24"/>
                <w:szCs w:val="24"/>
              </w:rPr>
            </w:pPr>
            <w:proofErr w:type="gramStart"/>
            <w:r w:rsidRPr="003021B7">
              <w:rPr>
                <w:rFonts w:ascii="Century Gothic" w:hAnsi="Century Gothic"/>
                <w:sz w:val="24"/>
                <w:szCs w:val="24"/>
              </w:rPr>
              <w:t>De acuerdo al</w:t>
            </w:r>
            <w:proofErr w:type="gramEnd"/>
            <w:r w:rsidRPr="003021B7">
              <w:rPr>
                <w:rFonts w:ascii="Century Gothic" w:hAnsi="Century Gothic"/>
                <w:sz w:val="24"/>
                <w:szCs w:val="24"/>
              </w:rPr>
              <w:t xml:space="preserve"> libro de aprendizajes clave, considero que se pudieron reforzar las siguientes orientaciones didácticas: </w:t>
            </w:r>
          </w:p>
          <w:p w14:paraId="0E1E9A3B" w14:textId="77777777" w:rsidR="003021B7" w:rsidRPr="003021B7" w:rsidRDefault="003021B7" w:rsidP="003021B7">
            <w:pPr>
              <w:pStyle w:val="Prrafodelista"/>
              <w:numPr>
                <w:ilvl w:val="0"/>
                <w:numId w:val="1"/>
              </w:numPr>
              <w:rPr>
                <w:rFonts w:ascii="Century Gothic" w:hAnsi="Century Gothic"/>
                <w:sz w:val="24"/>
                <w:szCs w:val="24"/>
              </w:rPr>
            </w:pPr>
            <w:r w:rsidRPr="003021B7">
              <w:rPr>
                <w:rFonts w:ascii="Century Gothic" w:hAnsi="Century Gothic"/>
                <w:sz w:val="24"/>
                <w:szCs w:val="24"/>
              </w:rPr>
              <w:t xml:space="preserve">Anticipar y verificar longitudes y capacidades con el uso de unidades de medida no convencionales. </w:t>
            </w:r>
          </w:p>
          <w:p w14:paraId="470F8CCB" w14:textId="77777777" w:rsidR="003021B7" w:rsidRPr="003021B7" w:rsidRDefault="003021B7" w:rsidP="003021B7">
            <w:pPr>
              <w:ind w:left="360"/>
              <w:rPr>
                <w:rFonts w:ascii="Century Gothic" w:hAnsi="Century Gothic"/>
                <w:sz w:val="24"/>
                <w:szCs w:val="24"/>
              </w:rPr>
            </w:pPr>
            <w:r w:rsidRPr="003021B7">
              <w:rPr>
                <w:rFonts w:ascii="Century Gothic" w:hAnsi="Century Gothic"/>
                <w:sz w:val="24"/>
                <w:szCs w:val="24"/>
              </w:rPr>
              <w:t xml:space="preserve">Esto a través de alguna actividad introductoria, donde los niños opinaran de que tamaño creen que quedaría el </w:t>
            </w:r>
            <w:proofErr w:type="spellStart"/>
            <w:r w:rsidRPr="003021B7">
              <w:rPr>
                <w:rFonts w:ascii="Century Gothic" w:hAnsi="Century Gothic"/>
                <w:sz w:val="24"/>
                <w:szCs w:val="24"/>
              </w:rPr>
              <w:t>slime</w:t>
            </w:r>
            <w:proofErr w:type="spellEnd"/>
            <w:r w:rsidRPr="003021B7">
              <w:rPr>
                <w:rFonts w:ascii="Century Gothic" w:hAnsi="Century Gothic"/>
                <w:sz w:val="24"/>
                <w:szCs w:val="24"/>
              </w:rPr>
              <w:t xml:space="preserve">, donde podría caber, etc. </w:t>
            </w:r>
          </w:p>
          <w:p w14:paraId="3A992CE6" w14:textId="77777777" w:rsidR="003021B7" w:rsidRPr="003021B7" w:rsidRDefault="003021B7" w:rsidP="003021B7">
            <w:pPr>
              <w:pStyle w:val="Prrafodelista"/>
              <w:numPr>
                <w:ilvl w:val="0"/>
                <w:numId w:val="1"/>
              </w:numPr>
              <w:rPr>
                <w:rFonts w:ascii="Century Gothic" w:hAnsi="Century Gothic"/>
                <w:sz w:val="24"/>
                <w:szCs w:val="24"/>
              </w:rPr>
            </w:pPr>
            <w:r w:rsidRPr="003021B7">
              <w:rPr>
                <w:rFonts w:ascii="Century Gothic" w:hAnsi="Century Gothic"/>
                <w:sz w:val="24"/>
                <w:szCs w:val="24"/>
              </w:rPr>
              <w:t xml:space="preserve">Reconocer la longitud y la capacidad mayor, igual o menor entre dos objetos o puntos, y entre recipientes. </w:t>
            </w:r>
          </w:p>
          <w:p w14:paraId="215C55A3" w14:textId="77777777" w:rsidR="003021B7" w:rsidRPr="003021B7" w:rsidRDefault="003021B7" w:rsidP="003021B7">
            <w:pPr>
              <w:ind w:left="360"/>
              <w:rPr>
                <w:rFonts w:ascii="Century Gothic" w:hAnsi="Century Gothic"/>
                <w:sz w:val="24"/>
                <w:szCs w:val="24"/>
              </w:rPr>
            </w:pPr>
            <w:r w:rsidRPr="003021B7">
              <w:rPr>
                <w:rFonts w:ascii="Century Gothic" w:hAnsi="Century Gothic"/>
                <w:sz w:val="24"/>
                <w:szCs w:val="24"/>
              </w:rPr>
              <w:t xml:space="preserve">Con alguna actividad donde compararan los recipientes que utilizaron para el experimento. </w:t>
            </w:r>
          </w:p>
          <w:p w14:paraId="6E4E1F23" w14:textId="77777777" w:rsidR="003021B7" w:rsidRPr="003021B7" w:rsidRDefault="003021B7" w:rsidP="003021B7">
            <w:pPr>
              <w:pStyle w:val="Prrafodelista"/>
              <w:numPr>
                <w:ilvl w:val="0"/>
                <w:numId w:val="1"/>
              </w:numPr>
              <w:rPr>
                <w:rFonts w:ascii="Century Gothic" w:hAnsi="Century Gothic"/>
                <w:sz w:val="24"/>
                <w:szCs w:val="24"/>
              </w:rPr>
            </w:pPr>
            <w:r w:rsidRPr="003021B7">
              <w:rPr>
                <w:rFonts w:ascii="Century Gothic" w:hAnsi="Century Gothic"/>
                <w:sz w:val="24"/>
                <w:szCs w:val="24"/>
              </w:rPr>
              <w:t>Encontrar objetos o recipientes que compartan la misma longitud (en alguna de sus dimensiones) o capacidad.</w:t>
            </w:r>
          </w:p>
          <w:p w14:paraId="460D6226" w14:textId="77777777" w:rsidR="003021B7" w:rsidRPr="003021B7" w:rsidRDefault="003021B7" w:rsidP="003021B7">
            <w:pPr>
              <w:ind w:left="360"/>
              <w:rPr>
                <w:rFonts w:ascii="Century Gothic" w:hAnsi="Century Gothic"/>
                <w:sz w:val="24"/>
                <w:szCs w:val="24"/>
              </w:rPr>
            </w:pPr>
            <w:r w:rsidRPr="003021B7">
              <w:rPr>
                <w:rFonts w:ascii="Century Gothic" w:hAnsi="Century Gothic"/>
                <w:sz w:val="24"/>
                <w:szCs w:val="24"/>
              </w:rPr>
              <w:t xml:space="preserve">Adecuando una actividad para que los niños mostraran los recipientes en las cámaras, y con comentarios comparar la capacidad con el de sus compañeros. </w:t>
            </w:r>
          </w:p>
          <w:p w14:paraId="0A7B1CF5" w14:textId="77777777" w:rsidR="003021B7" w:rsidRPr="003021B7" w:rsidRDefault="003021B7" w:rsidP="003021B7">
            <w:pPr>
              <w:rPr>
                <w:rFonts w:ascii="Century Gothic" w:hAnsi="Century Gothic"/>
                <w:sz w:val="24"/>
                <w:szCs w:val="24"/>
              </w:rPr>
            </w:pPr>
          </w:p>
        </w:tc>
      </w:tr>
    </w:tbl>
    <w:p w14:paraId="4FE3ECBA" w14:textId="77777777" w:rsidR="003021B7" w:rsidRPr="00BE28C5" w:rsidRDefault="003021B7" w:rsidP="003021B7">
      <w:pPr>
        <w:jc w:val="center"/>
        <w:rPr>
          <w:rFonts w:ascii="Arial" w:hAnsi="Arial" w:cs="Arial"/>
          <w:b/>
          <w:bCs/>
          <w:sz w:val="32"/>
          <w:szCs w:val="32"/>
        </w:rPr>
      </w:pPr>
    </w:p>
    <w:p w14:paraId="3A4DA95B" w14:textId="77777777" w:rsidR="00ED6FF2" w:rsidRDefault="00ED6FF2"/>
    <w:sectPr w:rsidR="00ED6FF2" w:rsidSect="005843EE">
      <w:pgSz w:w="15842" w:h="12242" w:orient="landscape"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40149"/>
    <w:multiLevelType w:val="hybridMultilevel"/>
    <w:tmpl w:val="425E77B2"/>
    <w:lvl w:ilvl="0" w:tplc="7C0EB480">
      <w:numFmt w:val="bullet"/>
      <w:lvlText w:val=""/>
      <w:lvlJc w:val="left"/>
      <w:pPr>
        <w:ind w:left="720" w:hanging="360"/>
      </w:pPr>
      <w:rPr>
        <w:rFonts w:ascii="Symbol" w:eastAsiaTheme="minorHAnsi" w:hAnsi="Symbol" w:cstheme="minorBidi" w:hint="default"/>
      </w:rPr>
    </w:lvl>
    <w:lvl w:ilvl="1" w:tplc="6998888E">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53"/>
    <w:rsid w:val="003021B7"/>
    <w:rsid w:val="005843EE"/>
    <w:rsid w:val="00D60553"/>
    <w:rsid w:val="00ED6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54F9"/>
  <w15:chartTrackingRefBased/>
  <w15:docId w15:val="{72F08956-AD66-4771-A75C-D482E732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60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2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338</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1</cp:revision>
  <dcterms:created xsi:type="dcterms:W3CDTF">2021-06-17T04:08:00Z</dcterms:created>
  <dcterms:modified xsi:type="dcterms:W3CDTF">2021-06-17T04:30:00Z</dcterms:modified>
</cp:coreProperties>
</file>