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8F8F8">
    <v:background id="_x0000_s1025" o:bwmode="white" fillcolor="#f8f8f8">
      <v:fill r:id="rId2" o:title="Papel periódico" type="tile"/>
    </v:background>
  </w:background>
  <w:body>
    <w:p w:rsidR="00CB000A" w:rsidRDefault="004B2B07">
      <w:r>
        <w:rPr>
          <w:noProof/>
        </w:rPr>
        <w:drawing>
          <wp:anchor distT="0" distB="0" distL="114300" distR="114300" simplePos="0" relativeHeight="251658240" behindDoc="0" locked="0" layoutInCell="1" allowOverlap="1" wp14:anchorId="769AD15F">
            <wp:simplePos x="0" y="0"/>
            <wp:positionH relativeFrom="column">
              <wp:posOffset>1605915</wp:posOffset>
            </wp:positionH>
            <wp:positionV relativeFrom="paragraph">
              <wp:posOffset>243205</wp:posOffset>
            </wp:positionV>
            <wp:extent cx="2438400" cy="1790700"/>
            <wp:effectExtent l="0" t="0" r="0" b="0"/>
            <wp:wrapThrough wrapText="bothSides">
              <wp:wrapPolygon edited="0">
                <wp:start x="4894" y="0"/>
                <wp:lineTo x="4894" y="16545"/>
                <wp:lineTo x="5906" y="19302"/>
                <wp:lineTo x="9113" y="21140"/>
                <wp:lineTo x="10125" y="21370"/>
                <wp:lineTo x="12488" y="21370"/>
                <wp:lineTo x="13331" y="21140"/>
                <wp:lineTo x="16706" y="18613"/>
                <wp:lineTo x="17550" y="16085"/>
                <wp:lineTo x="17381" y="0"/>
                <wp:lineTo x="4894" y="0"/>
              </wp:wrapPolygon>
            </wp:wrapThrough>
            <wp:docPr id="5" name="Imagen 4" descr="Escuela Normal de Educación Preescolar – Desarrollo de competencias  linguisticas">
              <a:extLst xmlns:a="http://schemas.openxmlformats.org/drawingml/2006/main">
                <a:ext uri="{FF2B5EF4-FFF2-40B4-BE49-F238E27FC236}">
                  <a16:creationId xmlns:a16="http://schemas.microsoft.com/office/drawing/2014/main" id="{BB7E6C78-325A-408B-A7ED-AB33C631A24A}"/>
                </a:ext>
              </a:extLst>
            </wp:docPr>
            <wp:cNvGraphicFramePr/>
            <a:graphic xmlns:a="http://schemas.openxmlformats.org/drawingml/2006/main">
              <a:graphicData uri="http://schemas.openxmlformats.org/drawingml/2006/picture">
                <pic:pic xmlns:pic="http://schemas.openxmlformats.org/drawingml/2006/picture">
                  <pic:nvPicPr>
                    <pic:cNvPr id="5" name="Imagen 4" descr="Escuela Normal de Educación Preescolar – Desarrollo de competencias  linguisticas">
                      <a:extLst>
                        <a:ext uri="{FF2B5EF4-FFF2-40B4-BE49-F238E27FC236}">
                          <a16:creationId xmlns:a16="http://schemas.microsoft.com/office/drawing/2014/main" id="{BB7E6C78-325A-408B-A7ED-AB33C631A24A}"/>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000A" w:rsidRDefault="000B3B89">
      <w:r>
        <w:rPr>
          <w:noProof/>
        </w:rPr>
        <mc:AlternateContent>
          <mc:Choice Requires="wps">
            <w:drawing>
              <wp:anchor distT="0" distB="0" distL="114300" distR="114300" simplePos="0" relativeHeight="251660288" behindDoc="0" locked="0" layoutInCell="1" allowOverlap="1" wp14:anchorId="6849B742" wp14:editId="6F08489F">
                <wp:simplePos x="0" y="0"/>
                <wp:positionH relativeFrom="column">
                  <wp:posOffset>-386715</wp:posOffset>
                </wp:positionH>
                <wp:positionV relativeFrom="paragraph">
                  <wp:posOffset>1871345</wp:posOffset>
                </wp:positionV>
                <wp:extent cx="6400800" cy="6807826"/>
                <wp:effectExtent l="0" t="0" r="0" b="0"/>
                <wp:wrapNone/>
                <wp:docPr id="7" name="Rectángulo 6">
                  <a:extLst xmlns:a="http://schemas.openxmlformats.org/drawingml/2006/main">
                    <a:ext uri="{FF2B5EF4-FFF2-40B4-BE49-F238E27FC236}">
                      <a16:creationId xmlns:a16="http://schemas.microsoft.com/office/drawing/2014/main" id="{0909D348-805D-40E0-BEE6-FEBDCCB6146F}"/>
                    </a:ext>
                  </a:extLst>
                </wp:docPr>
                <wp:cNvGraphicFramePr/>
                <a:graphic xmlns:a="http://schemas.openxmlformats.org/drawingml/2006/main">
                  <a:graphicData uri="http://schemas.microsoft.com/office/word/2010/wordprocessingShape">
                    <wps:wsp>
                      <wps:cNvSpPr/>
                      <wps:spPr>
                        <a:xfrm>
                          <a:off x="0" y="0"/>
                          <a:ext cx="6400800" cy="6807826"/>
                        </a:xfrm>
                        <a:prstGeom prst="rect">
                          <a:avLst/>
                        </a:prstGeom>
                      </wps:spPr>
                      <wps:txbx>
                        <w:txbxContent>
                          <w:p w:rsidR="000B3B89" w:rsidRPr="000B3B89" w:rsidRDefault="000B3B89" w:rsidP="000B3B89">
                            <w:pPr>
                              <w:pStyle w:val="NormalWeb"/>
                              <w:spacing w:before="0" w:beforeAutospacing="0" w:after="160" w:afterAutospacing="0" w:line="252" w:lineRule="auto"/>
                              <w:jc w:val="center"/>
                              <w:rPr>
                                <w:rFonts w:ascii="Bradley Hand ITC" w:hAnsi="Bradley Hand ITC"/>
                                <w:b/>
                                <w:i/>
                              </w:rPr>
                            </w:pPr>
                            <w:r w:rsidRPr="000B3B89">
                              <w:rPr>
                                <w:rFonts w:ascii="Bradley Hand ITC" w:eastAsia="Calibri" w:hAnsi="Bradley Hand ITC"/>
                                <w:b/>
                                <w:bCs/>
                                <w:i/>
                                <w:color w:val="000000" w:themeColor="text1"/>
                                <w:kern w:val="24"/>
                                <w:sz w:val="36"/>
                                <w:szCs w:val="36"/>
                              </w:rPr>
                              <w:t>Escuela Normal de Educación Preescolar. </w:t>
                            </w:r>
                          </w:p>
                          <w:p w:rsidR="000B3B89" w:rsidRDefault="000B3B89"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Cs w:val="36"/>
                              </w:rPr>
                            </w:pPr>
                            <w:r w:rsidRPr="000B3B89">
                              <w:rPr>
                                <w:rFonts w:ascii="Bradley Hand ITC" w:eastAsia="Calibri" w:hAnsi="Bradley Hand ITC"/>
                                <w:b/>
                                <w:bCs/>
                                <w:color w:val="000000" w:themeColor="text1"/>
                                <w:kern w:val="24"/>
                                <w:szCs w:val="36"/>
                              </w:rPr>
                              <w:t>Licenciatura en Educación Preescolar.</w:t>
                            </w:r>
                            <w:r>
                              <w:rPr>
                                <w:rFonts w:ascii="Bradley Hand ITC" w:eastAsia="Calibri" w:hAnsi="Bradley Hand ITC"/>
                                <w:b/>
                                <w:bCs/>
                                <w:color w:val="000000" w:themeColor="text1"/>
                                <w:kern w:val="24"/>
                                <w:szCs w:val="36"/>
                              </w:rPr>
                              <w:br/>
                              <w:t xml:space="preserve">Ciclo 2020 </w:t>
                            </w:r>
                            <w:r w:rsidR="004B2B07">
                              <w:rPr>
                                <w:rFonts w:ascii="Bradley Hand ITC" w:eastAsia="Calibri" w:hAnsi="Bradley Hand ITC"/>
                                <w:b/>
                                <w:bCs/>
                                <w:color w:val="000000" w:themeColor="text1"/>
                                <w:kern w:val="24"/>
                                <w:szCs w:val="36"/>
                              </w:rPr>
                              <w:t>–</w:t>
                            </w:r>
                            <w:r>
                              <w:rPr>
                                <w:rFonts w:ascii="Bradley Hand ITC" w:eastAsia="Calibri" w:hAnsi="Bradley Hand ITC"/>
                                <w:b/>
                                <w:bCs/>
                                <w:color w:val="000000" w:themeColor="text1"/>
                                <w:kern w:val="24"/>
                                <w:szCs w:val="36"/>
                              </w:rPr>
                              <w:t xml:space="preserve"> 2021</w:t>
                            </w:r>
                          </w:p>
                          <w:p w:rsidR="004B2B07" w:rsidRDefault="004B2B07"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Cs w:val="36"/>
                              </w:rPr>
                            </w:pPr>
                          </w:p>
                          <w:p w:rsidR="004B2B07" w:rsidRPr="000B3B89" w:rsidRDefault="004B2B07"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Cs w:val="36"/>
                              </w:rPr>
                            </w:pPr>
                          </w:p>
                          <w:p w:rsidR="000B3B89" w:rsidRDefault="000B3B89"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 w:val="36"/>
                                <w:szCs w:val="36"/>
                              </w:rPr>
                            </w:pPr>
                            <w:r w:rsidRPr="000B3B89">
                              <w:rPr>
                                <w:rFonts w:ascii="Bradley Hand ITC" w:eastAsia="Calibri" w:hAnsi="Bradley Hand ITC"/>
                                <w:b/>
                                <w:bCs/>
                                <w:color w:val="000000" w:themeColor="text1"/>
                                <w:kern w:val="24"/>
                                <w:sz w:val="36"/>
                                <w:szCs w:val="36"/>
                              </w:rPr>
                              <w:t> </w:t>
                            </w:r>
                            <w:r w:rsidR="004B2B07">
                              <w:rPr>
                                <w:rFonts w:ascii="Bradley Hand ITC" w:eastAsia="Calibri" w:hAnsi="Bradley Hand ITC"/>
                                <w:b/>
                                <w:bCs/>
                                <w:color w:val="000000" w:themeColor="text1"/>
                                <w:kern w:val="24"/>
                                <w:sz w:val="36"/>
                                <w:szCs w:val="36"/>
                              </w:rPr>
                              <w:t>TRABAJO: Texto sobre la línea de acción 3.</w:t>
                            </w:r>
                          </w:p>
                          <w:p w:rsidR="004B2B07" w:rsidRPr="000B3B89" w:rsidRDefault="004B2B07" w:rsidP="000B3B89">
                            <w:pPr>
                              <w:pStyle w:val="NormalWeb"/>
                              <w:spacing w:before="0" w:beforeAutospacing="0" w:after="160" w:afterAutospacing="0" w:line="252" w:lineRule="auto"/>
                              <w:jc w:val="center"/>
                              <w:rPr>
                                <w:rFonts w:ascii="Bradley Hand ITC" w:hAnsi="Bradley Hand ITC"/>
                              </w:rPr>
                            </w:pP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36"/>
                                <w:szCs w:val="36"/>
                              </w:rPr>
                              <w:t xml:space="preserve"> Alumna: </w:t>
                            </w:r>
                          </w:p>
                          <w:p w:rsidR="000B3B89" w:rsidRDefault="000B3B89"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 w:val="36"/>
                                <w:szCs w:val="36"/>
                              </w:rPr>
                            </w:pPr>
                            <w:r w:rsidRPr="000B3B89">
                              <w:rPr>
                                <w:rFonts w:ascii="Bradley Hand ITC" w:eastAsia="Calibri" w:hAnsi="Bradley Hand ITC"/>
                                <w:b/>
                                <w:bCs/>
                                <w:color w:val="000000" w:themeColor="text1"/>
                                <w:kern w:val="24"/>
                                <w:sz w:val="36"/>
                                <w:szCs w:val="36"/>
                              </w:rPr>
                              <w:t xml:space="preserve">Victoria Hernández Herrera #10 </w:t>
                            </w:r>
                          </w:p>
                          <w:p w:rsidR="004B2B07" w:rsidRPr="000B3B89" w:rsidRDefault="004B2B07" w:rsidP="000B3B89">
                            <w:pPr>
                              <w:pStyle w:val="NormalWeb"/>
                              <w:spacing w:before="0" w:beforeAutospacing="0" w:after="160" w:afterAutospacing="0" w:line="252" w:lineRule="auto"/>
                              <w:jc w:val="center"/>
                              <w:rPr>
                                <w:rFonts w:ascii="Bradley Hand ITC" w:hAnsi="Bradley Hand ITC"/>
                              </w:rPr>
                            </w:pP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36"/>
                                <w:szCs w:val="36"/>
                              </w:rPr>
                              <w:t>Primer año-</w:t>
                            </w:r>
                            <w:r w:rsidRPr="000B3B89">
                              <w:rPr>
                                <w:rFonts w:ascii="Bradley Hand ITC" w:eastAsia="Calibri" w:hAnsi="Bradley Hand ITC"/>
                                <w:b/>
                                <w:bCs/>
                                <w:color w:val="000000" w:themeColor="text1"/>
                                <w:kern w:val="24"/>
                                <w:sz w:val="36"/>
                                <w:szCs w:val="36"/>
                              </w:rPr>
                              <w:t>Segundo semestre.       Sección C.</w:t>
                            </w: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36"/>
                                <w:szCs w:val="36"/>
                              </w:rPr>
                              <w:t> </w:t>
                            </w:r>
                            <w:r w:rsidR="004B2B07">
                              <w:rPr>
                                <w:rFonts w:ascii="Bradley Hand ITC" w:eastAsia="Calibri" w:hAnsi="Bradley Hand ITC"/>
                                <w:b/>
                                <w:bCs/>
                                <w:color w:val="000000" w:themeColor="text1"/>
                                <w:kern w:val="24"/>
                                <w:sz w:val="36"/>
                                <w:szCs w:val="36"/>
                              </w:rPr>
                              <w:t>UNIDAD II</w:t>
                            </w:r>
                          </w:p>
                          <w:p w:rsidR="000B3B89" w:rsidRDefault="000B3B89"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 w:val="36"/>
                                <w:szCs w:val="36"/>
                              </w:rPr>
                            </w:pPr>
                            <w:r w:rsidRPr="000B3B89">
                              <w:rPr>
                                <w:rFonts w:ascii="Bradley Hand ITC" w:eastAsia="Calibri" w:hAnsi="Bradley Hand ITC"/>
                                <w:b/>
                                <w:bCs/>
                                <w:color w:val="000000" w:themeColor="text1"/>
                                <w:kern w:val="24"/>
                                <w:sz w:val="36"/>
                                <w:szCs w:val="36"/>
                              </w:rPr>
                              <w:t>Curso: tutoría grupal.</w:t>
                            </w:r>
                          </w:p>
                          <w:p w:rsidR="004B2B07" w:rsidRPr="000B3B89" w:rsidRDefault="004B2B07" w:rsidP="000B3B89">
                            <w:pPr>
                              <w:pStyle w:val="NormalWeb"/>
                              <w:spacing w:before="0" w:beforeAutospacing="0" w:after="160" w:afterAutospacing="0" w:line="252" w:lineRule="auto"/>
                              <w:jc w:val="center"/>
                              <w:rPr>
                                <w:rFonts w:ascii="Bradley Hand ITC" w:hAnsi="Bradley Hand ITC"/>
                              </w:rPr>
                            </w:pP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36"/>
                                <w:szCs w:val="36"/>
                              </w:rPr>
                              <w:t>Maestra: Karla Griselda García Pimentel.</w:t>
                            </w:r>
                          </w:p>
                          <w:p w:rsidR="000B3B89" w:rsidRPr="000B3B89" w:rsidRDefault="004B2B07" w:rsidP="004B2B07">
                            <w:pPr>
                              <w:pStyle w:val="NormalWeb"/>
                              <w:spacing w:before="0" w:beforeAutospacing="0" w:after="160" w:afterAutospacing="0" w:line="252" w:lineRule="auto"/>
                              <w:jc w:val="center"/>
                              <w:rPr>
                                <w:rFonts w:ascii="Bradley Hand ITC" w:hAnsi="Bradley Hand ITC"/>
                              </w:rPr>
                            </w:pPr>
                            <w:r>
                              <w:rPr>
                                <w:rFonts w:ascii="Bradley Hand ITC" w:eastAsia="Calibri" w:hAnsi="Bradley Hand ITC"/>
                                <w:b/>
                                <w:bCs/>
                                <w:color w:val="000000" w:themeColor="text1"/>
                                <w:kern w:val="24"/>
                                <w:sz w:val="21"/>
                                <w:szCs w:val="21"/>
                              </w:rPr>
                              <w:t>20 de Junio</w:t>
                            </w:r>
                            <w:r w:rsidR="000B3B89" w:rsidRPr="000B3B89">
                              <w:rPr>
                                <w:rFonts w:ascii="Bradley Hand ITC" w:eastAsia="Calibri" w:hAnsi="Bradley Hand ITC"/>
                                <w:b/>
                                <w:bCs/>
                                <w:color w:val="000000" w:themeColor="text1"/>
                                <w:kern w:val="24"/>
                                <w:sz w:val="21"/>
                                <w:szCs w:val="21"/>
                              </w:rPr>
                              <w:t xml:space="preserve"> del 2021.</w:t>
                            </w: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21"/>
                                <w:szCs w:val="21"/>
                              </w:rPr>
                              <w:t>Saltillo, Coahuila</w:t>
                            </w:r>
                            <w:r w:rsidR="004B2B07">
                              <w:rPr>
                                <w:rFonts w:ascii="Bradley Hand ITC" w:eastAsia="Calibri" w:hAnsi="Bradley Hand ITC"/>
                                <w:b/>
                                <w:bCs/>
                                <w:color w:val="000000" w:themeColor="text1"/>
                                <w:kern w:val="24"/>
                                <w:sz w:val="21"/>
                                <w:szCs w:val="21"/>
                              </w:rPr>
                              <w:t>.</w:t>
                            </w:r>
                          </w:p>
                        </w:txbxContent>
                      </wps:txbx>
                      <wps:bodyPr wrap="square">
                        <a:spAutoFit/>
                      </wps:bodyPr>
                    </wps:wsp>
                  </a:graphicData>
                </a:graphic>
                <wp14:sizeRelH relativeFrom="margin">
                  <wp14:pctWidth>0</wp14:pctWidth>
                </wp14:sizeRelH>
              </wp:anchor>
            </w:drawing>
          </mc:Choice>
          <mc:Fallback>
            <w:pict>
              <v:rect w14:anchorId="6849B742" id="Rectángulo 6" o:spid="_x0000_s1026" style="position:absolute;margin-left:-30.45pt;margin-top:147.35pt;width:7in;height:536.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Va/gEAAM0DAAAOAAAAZHJzL2Uyb0RvYy54bWysU1GO0zAQ/UfiDpb/07hp1k2jpivaJggJ&#10;wYqFA7iO00ZKYmO7TarVHmbPwsUYu2kXwQ9C/NjjeDzz3puX5f3QNugktKlll+HphGAkOi7Luttn&#10;+NvXIkgwMpZ1JWtkJzJ8Fgbfr96+WfYqFZE8yKYUGkGRzqS9yvDBWpWGoeEH0TIzkUp0cFlJ3TIL&#10;R70PS816qN42YUQIDXupS6UlF8bA1+3lEq98/aoS3H6uKiMsajIM2KxftV93bg1XS5buNVOHmo8w&#10;2D+gaFndQdNbqS2zDB11/UeptuZaGlnZCZdtKKuq5sJzADZT8hubxwNTwnMBcYy6yWT+X1n+6fSg&#10;UV1meI5Rx1oY0RcQ7cdLtz82ElFPSgz2o7GOHkQXWk9FEa3v8iIOCoiCmKzjYJ3Hi6CIZkkezYtN&#10;NKPP7vWUplwLZsEgH8qrxFP6dxTGYTtx4tCL7LE+kQVZbGdxEiTkbgvdcwLdcxoU+Xq72azpNKbF&#10;sxtu6DFfd88i7JVJPW/nEh8+qgcNye5kIHRMh0q3bocRocH75Xzzi1OBw0caE5IQsBWHO5qQeRLR&#10;sen1udLGvheyRS7IsAZtvaTsBFgu+K4pAPIVgIvssBtGVDtZnmFOPRg1w+b7kWnnCwZo3x2tLGpf&#10;yr25JI6lwDOe+ehvZ8pfzz7r9S9c/QQAAP//AwBQSwMEFAAGAAgAAAAhAMBOr4riAAAADAEAAA8A&#10;AABkcnMvZG93bnJldi54bWxMj0FuwjAQRfeVegdrKnVTgQ1FhoQ4qKKtBOyacgAnniaB2I5iA+nt&#10;O121q9Fonv68n21G27ErDqH1TsFsKoChq7xpXa3g+Pk+WQELUTujO+9QwTcG2OT3d5lOjb+5D7wW&#10;sWYU4kKqFTQx9innoWrQ6jD1PTq6ffnB6kjrUHMz6BuF247PhZDc6tbRh0b3uG2wOhcXq2B/WByO&#10;2x0/nZP29Wm3LAQv5ZtSjw/jyxpYxDH+wfCrT+qQk1PpL84E1imYSJEQqmCeLJbAiKA5A1YS+izl&#10;Cnie8f8l8h8AAAD//wMAUEsBAi0AFAAGAAgAAAAhALaDOJL+AAAA4QEAABMAAAAAAAAAAAAAAAAA&#10;AAAAAFtDb250ZW50X1R5cGVzXS54bWxQSwECLQAUAAYACAAAACEAOP0h/9YAAACUAQAACwAAAAAA&#10;AAAAAAAAAAAvAQAAX3JlbHMvLnJlbHNQSwECLQAUAAYACAAAACEAk4GFWv4BAADNAwAADgAAAAAA&#10;AAAAAAAAAAAuAgAAZHJzL2Uyb0RvYy54bWxQSwECLQAUAAYACAAAACEAwE6viuIAAAAMAQAADwAA&#10;AAAAAAAAAAAAAABYBAAAZHJzL2Rvd25yZXYueG1sUEsFBgAAAAAEAAQA8wAAAGcFAAAAAA==&#10;" filled="f" stroked="f">
                <v:textbox style="mso-fit-shape-to-text:t">
                  <w:txbxContent>
                    <w:p w:rsidR="000B3B89" w:rsidRPr="000B3B89" w:rsidRDefault="000B3B89" w:rsidP="000B3B89">
                      <w:pPr>
                        <w:pStyle w:val="NormalWeb"/>
                        <w:spacing w:before="0" w:beforeAutospacing="0" w:after="160" w:afterAutospacing="0" w:line="252" w:lineRule="auto"/>
                        <w:jc w:val="center"/>
                        <w:rPr>
                          <w:rFonts w:ascii="Bradley Hand ITC" w:hAnsi="Bradley Hand ITC"/>
                          <w:b/>
                          <w:i/>
                        </w:rPr>
                      </w:pPr>
                      <w:r w:rsidRPr="000B3B89">
                        <w:rPr>
                          <w:rFonts w:ascii="Bradley Hand ITC" w:eastAsia="Calibri" w:hAnsi="Bradley Hand ITC"/>
                          <w:b/>
                          <w:bCs/>
                          <w:i/>
                          <w:color w:val="000000" w:themeColor="text1"/>
                          <w:kern w:val="24"/>
                          <w:sz w:val="36"/>
                          <w:szCs w:val="36"/>
                        </w:rPr>
                        <w:t>Escuela Normal de Educación Preescolar. </w:t>
                      </w:r>
                    </w:p>
                    <w:p w:rsidR="000B3B89" w:rsidRDefault="000B3B89"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Cs w:val="36"/>
                        </w:rPr>
                      </w:pPr>
                      <w:r w:rsidRPr="000B3B89">
                        <w:rPr>
                          <w:rFonts w:ascii="Bradley Hand ITC" w:eastAsia="Calibri" w:hAnsi="Bradley Hand ITC"/>
                          <w:b/>
                          <w:bCs/>
                          <w:color w:val="000000" w:themeColor="text1"/>
                          <w:kern w:val="24"/>
                          <w:szCs w:val="36"/>
                        </w:rPr>
                        <w:t>Licenciatura en Educación Preescolar.</w:t>
                      </w:r>
                      <w:r>
                        <w:rPr>
                          <w:rFonts w:ascii="Bradley Hand ITC" w:eastAsia="Calibri" w:hAnsi="Bradley Hand ITC"/>
                          <w:b/>
                          <w:bCs/>
                          <w:color w:val="000000" w:themeColor="text1"/>
                          <w:kern w:val="24"/>
                          <w:szCs w:val="36"/>
                        </w:rPr>
                        <w:br/>
                        <w:t xml:space="preserve">Ciclo 2020 </w:t>
                      </w:r>
                      <w:r w:rsidR="004B2B07">
                        <w:rPr>
                          <w:rFonts w:ascii="Bradley Hand ITC" w:eastAsia="Calibri" w:hAnsi="Bradley Hand ITC"/>
                          <w:b/>
                          <w:bCs/>
                          <w:color w:val="000000" w:themeColor="text1"/>
                          <w:kern w:val="24"/>
                          <w:szCs w:val="36"/>
                        </w:rPr>
                        <w:t>–</w:t>
                      </w:r>
                      <w:r>
                        <w:rPr>
                          <w:rFonts w:ascii="Bradley Hand ITC" w:eastAsia="Calibri" w:hAnsi="Bradley Hand ITC"/>
                          <w:b/>
                          <w:bCs/>
                          <w:color w:val="000000" w:themeColor="text1"/>
                          <w:kern w:val="24"/>
                          <w:szCs w:val="36"/>
                        </w:rPr>
                        <w:t xml:space="preserve"> 2021</w:t>
                      </w:r>
                    </w:p>
                    <w:p w:rsidR="004B2B07" w:rsidRDefault="004B2B07"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Cs w:val="36"/>
                        </w:rPr>
                      </w:pPr>
                    </w:p>
                    <w:p w:rsidR="004B2B07" w:rsidRPr="000B3B89" w:rsidRDefault="004B2B07"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Cs w:val="36"/>
                        </w:rPr>
                      </w:pPr>
                    </w:p>
                    <w:p w:rsidR="000B3B89" w:rsidRDefault="000B3B89"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 w:val="36"/>
                          <w:szCs w:val="36"/>
                        </w:rPr>
                      </w:pPr>
                      <w:r w:rsidRPr="000B3B89">
                        <w:rPr>
                          <w:rFonts w:ascii="Bradley Hand ITC" w:eastAsia="Calibri" w:hAnsi="Bradley Hand ITC"/>
                          <w:b/>
                          <w:bCs/>
                          <w:color w:val="000000" w:themeColor="text1"/>
                          <w:kern w:val="24"/>
                          <w:sz w:val="36"/>
                          <w:szCs w:val="36"/>
                        </w:rPr>
                        <w:t> </w:t>
                      </w:r>
                      <w:r w:rsidR="004B2B07">
                        <w:rPr>
                          <w:rFonts w:ascii="Bradley Hand ITC" w:eastAsia="Calibri" w:hAnsi="Bradley Hand ITC"/>
                          <w:b/>
                          <w:bCs/>
                          <w:color w:val="000000" w:themeColor="text1"/>
                          <w:kern w:val="24"/>
                          <w:sz w:val="36"/>
                          <w:szCs w:val="36"/>
                        </w:rPr>
                        <w:t>TRABAJO: Texto sobre la línea de acción 3.</w:t>
                      </w:r>
                    </w:p>
                    <w:p w:rsidR="004B2B07" w:rsidRPr="000B3B89" w:rsidRDefault="004B2B07" w:rsidP="000B3B89">
                      <w:pPr>
                        <w:pStyle w:val="NormalWeb"/>
                        <w:spacing w:before="0" w:beforeAutospacing="0" w:after="160" w:afterAutospacing="0" w:line="252" w:lineRule="auto"/>
                        <w:jc w:val="center"/>
                        <w:rPr>
                          <w:rFonts w:ascii="Bradley Hand ITC" w:hAnsi="Bradley Hand ITC"/>
                        </w:rPr>
                      </w:pP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36"/>
                          <w:szCs w:val="36"/>
                        </w:rPr>
                        <w:t xml:space="preserve"> Alumna: </w:t>
                      </w:r>
                    </w:p>
                    <w:p w:rsidR="000B3B89" w:rsidRDefault="000B3B89"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 w:val="36"/>
                          <w:szCs w:val="36"/>
                        </w:rPr>
                      </w:pPr>
                      <w:r w:rsidRPr="000B3B89">
                        <w:rPr>
                          <w:rFonts w:ascii="Bradley Hand ITC" w:eastAsia="Calibri" w:hAnsi="Bradley Hand ITC"/>
                          <w:b/>
                          <w:bCs/>
                          <w:color w:val="000000" w:themeColor="text1"/>
                          <w:kern w:val="24"/>
                          <w:sz w:val="36"/>
                          <w:szCs w:val="36"/>
                        </w:rPr>
                        <w:t xml:space="preserve">Victoria Hernández Herrera #10 </w:t>
                      </w:r>
                    </w:p>
                    <w:p w:rsidR="004B2B07" w:rsidRPr="000B3B89" w:rsidRDefault="004B2B07" w:rsidP="000B3B89">
                      <w:pPr>
                        <w:pStyle w:val="NormalWeb"/>
                        <w:spacing w:before="0" w:beforeAutospacing="0" w:after="160" w:afterAutospacing="0" w:line="252" w:lineRule="auto"/>
                        <w:jc w:val="center"/>
                        <w:rPr>
                          <w:rFonts w:ascii="Bradley Hand ITC" w:hAnsi="Bradley Hand ITC"/>
                        </w:rPr>
                      </w:pP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36"/>
                          <w:szCs w:val="36"/>
                        </w:rPr>
                        <w:t>Primer año-</w:t>
                      </w:r>
                      <w:r w:rsidRPr="000B3B89">
                        <w:rPr>
                          <w:rFonts w:ascii="Bradley Hand ITC" w:eastAsia="Calibri" w:hAnsi="Bradley Hand ITC"/>
                          <w:b/>
                          <w:bCs/>
                          <w:color w:val="000000" w:themeColor="text1"/>
                          <w:kern w:val="24"/>
                          <w:sz w:val="36"/>
                          <w:szCs w:val="36"/>
                        </w:rPr>
                        <w:t>Segundo semestre.       Sección C.</w:t>
                      </w: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36"/>
                          <w:szCs w:val="36"/>
                        </w:rPr>
                        <w:t> </w:t>
                      </w:r>
                      <w:r w:rsidR="004B2B07">
                        <w:rPr>
                          <w:rFonts w:ascii="Bradley Hand ITC" w:eastAsia="Calibri" w:hAnsi="Bradley Hand ITC"/>
                          <w:b/>
                          <w:bCs/>
                          <w:color w:val="000000" w:themeColor="text1"/>
                          <w:kern w:val="24"/>
                          <w:sz w:val="36"/>
                          <w:szCs w:val="36"/>
                        </w:rPr>
                        <w:t>UNIDAD II</w:t>
                      </w:r>
                    </w:p>
                    <w:p w:rsidR="000B3B89" w:rsidRDefault="000B3B89" w:rsidP="000B3B89">
                      <w:pPr>
                        <w:pStyle w:val="NormalWeb"/>
                        <w:spacing w:before="0" w:beforeAutospacing="0" w:after="160" w:afterAutospacing="0" w:line="252" w:lineRule="auto"/>
                        <w:jc w:val="center"/>
                        <w:rPr>
                          <w:rFonts w:ascii="Bradley Hand ITC" w:eastAsia="Calibri" w:hAnsi="Bradley Hand ITC"/>
                          <w:b/>
                          <w:bCs/>
                          <w:color w:val="000000" w:themeColor="text1"/>
                          <w:kern w:val="24"/>
                          <w:sz w:val="36"/>
                          <w:szCs w:val="36"/>
                        </w:rPr>
                      </w:pPr>
                      <w:r w:rsidRPr="000B3B89">
                        <w:rPr>
                          <w:rFonts w:ascii="Bradley Hand ITC" w:eastAsia="Calibri" w:hAnsi="Bradley Hand ITC"/>
                          <w:b/>
                          <w:bCs/>
                          <w:color w:val="000000" w:themeColor="text1"/>
                          <w:kern w:val="24"/>
                          <w:sz w:val="36"/>
                          <w:szCs w:val="36"/>
                        </w:rPr>
                        <w:t>Curso: tutoría grupal.</w:t>
                      </w:r>
                    </w:p>
                    <w:p w:rsidR="004B2B07" w:rsidRPr="000B3B89" w:rsidRDefault="004B2B07" w:rsidP="000B3B89">
                      <w:pPr>
                        <w:pStyle w:val="NormalWeb"/>
                        <w:spacing w:before="0" w:beforeAutospacing="0" w:after="160" w:afterAutospacing="0" w:line="252" w:lineRule="auto"/>
                        <w:jc w:val="center"/>
                        <w:rPr>
                          <w:rFonts w:ascii="Bradley Hand ITC" w:hAnsi="Bradley Hand ITC"/>
                        </w:rPr>
                      </w:pP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36"/>
                          <w:szCs w:val="36"/>
                        </w:rPr>
                        <w:t>Maestra: Karla Griselda García Pimentel.</w:t>
                      </w:r>
                    </w:p>
                    <w:p w:rsidR="000B3B89" w:rsidRPr="000B3B89" w:rsidRDefault="004B2B07" w:rsidP="004B2B07">
                      <w:pPr>
                        <w:pStyle w:val="NormalWeb"/>
                        <w:spacing w:before="0" w:beforeAutospacing="0" w:after="160" w:afterAutospacing="0" w:line="252" w:lineRule="auto"/>
                        <w:jc w:val="center"/>
                        <w:rPr>
                          <w:rFonts w:ascii="Bradley Hand ITC" w:hAnsi="Bradley Hand ITC"/>
                        </w:rPr>
                      </w:pPr>
                      <w:r>
                        <w:rPr>
                          <w:rFonts w:ascii="Bradley Hand ITC" w:eastAsia="Calibri" w:hAnsi="Bradley Hand ITC"/>
                          <w:b/>
                          <w:bCs/>
                          <w:color w:val="000000" w:themeColor="text1"/>
                          <w:kern w:val="24"/>
                          <w:sz w:val="21"/>
                          <w:szCs w:val="21"/>
                        </w:rPr>
                        <w:t>20 de Junio</w:t>
                      </w:r>
                      <w:r w:rsidR="000B3B89" w:rsidRPr="000B3B89">
                        <w:rPr>
                          <w:rFonts w:ascii="Bradley Hand ITC" w:eastAsia="Calibri" w:hAnsi="Bradley Hand ITC"/>
                          <w:b/>
                          <w:bCs/>
                          <w:color w:val="000000" w:themeColor="text1"/>
                          <w:kern w:val="24"/>
                          <w:sz w:val="21"/>
                          <w:szCs w:val="21"/>
                        </w:rPr>
                        <w:t xml:space="preserve"> del 2021.</w:t>
                      </w:r>
                    </w:p>
                    <w:p w:rsidR="000B3B89" w:rsidRPr="000B3B89" w:rsidRDefault="000B3B89" w:rsidP="000B3B89">
                      <w:pPr>
                        <w:pStyle w:val="NormalWeb"/>
                        <w:spacing w:before="0" w:beforeAutospacing="0" w:after="160" w:afterAutospacing="0" w:line="252" w:lineRule="auto"/>
                        <w:jc w:val="center"/>
                        <w:rPr>
                          <w:rFonts w:ascii="Bradley Hand ITC" w:hAnsi="Bradley Hand ITC"/>
                        </w:rPr>
                      </w:pPr>
                      <w:r w:rsidRPr="000B3B89">
                        <w:rPr>
                          <w:rFonts w:ascii="Bradley Hand ITC" w:eastAsia="Calibri" w:hAnsi="Bradley Hand ITC"/>
                          <w:b/>
                          <w:bCs/>
                          <w:color w:val="000000" w:themeColor="text1"/>
                          <w:kern w:val="24"/>
                          <w:sz w:val="21"/>
                          <w:szCs w:val="21"/>
                        </w:rPr>
                        <w:t>Saltillo, Coahuila</w:t>
                      </w:r>
                      <w:r w:rsidR="004B2B07">
                        <w:rPr>
                          <w:rFonts w:ascii="Bradley Hand ITC" w:eastAsia="Calibri" w:hAnsi="Bradley Hand ITC"/>
                          <w:b/>
                          <w:bCs/>
                          <w:color w:val="000000" w:themeColor="text1"/>
                          <w:kern w:val="24"/>
                          <w:sz w:val="21"/>
                          <w:szCs w:val="21"/>
                        </w:rPr>
                        <w:t>.</w:t>
                      </w:r>
                    </w:p>
                  </w:txbxContent>
                </v:textbox>
              </v:rect>
            </w:pict>
          </mc:Fallback>
        </mc:AlternateContent>
      </w:r>
      <w:r w:rsidR="00CB000A">
        <w:br w:type="page"/>
      </w:r>
    </w:p>
    <w:p w:rsidR="00B906B3" w:rsidRPr="0001107F" w:rsidRDefault="00CB000A" w:rsidP="0001107F">
      <w:pPr>
        <w:jc w:val="center"/>
        <w:rPr>
          <w:rFonts w:ascii="Engravers MT" w:hAnsi="Engravers MT"/>
          <w:b/>
          <w:bCs/>
          <w:i/>
          <w:iCs/>
          <w:sz w:val="28"/>
        </w:rPr>
      </w:pPr>
      <w:r w:rsidRPr="00CB000A">
        <w:rPr>
          <w:rFonts w:ascii="Engravers MT" w:hAnsi="Engravers MT"/>
          <w:b/>
          <w:bCs/>
          <w:i/>
          <w:iCs/>
          <w:sz w:val="28"/>
        </w:rPr>
        <w:lastRenderedPageBreak/>
        <w:t>LINEA DE ACCIÓN 3. COMO ESTUDIAR PARA EXÁMENES SEGÚN EL ESTILO DE APRENDIZAJE Y ÁREA DE CONOCIMIENTO</w:t>
      </w:r>
    </w:p>
    <w:p w:rsidR="003C0E9E" w:rsidRDefault="003C0E9E" w:rsidP="0001107F">
      <w:pPr>
        <w:spacing w:line="276" w:lineRule="auto"/>
        <w:jc w:val="both"/>
        <w:rPr>
          <w:rFonts w:ascii="Bookman Old Style" w:hAnsi="Bookman Old Style"/>
          <w:bCs/>
          <w:iCs/>
          <w:sz w:val="24"/>
        </w:rPr>
      </w:pPr>
      <w:r w:rsidRPr="0001107F">
        <w:rPr>
          <w:rFonts w:ascii="Bookman Old Style" w:hAnsi="Bookman Old Style"/>
          <w:bCs/>
          <w:iCs/>
          <w:sz w:val="24"/>
        </w:rPr>
        <w:t>E</w:t>
      </w:r>
      <w:r w:rsidR="0001107F" w:rsidRPr="0001107F">
        <w:rPr>
          <w:rFonts w:ascii="Bookman Old Style" w:hAnsi="Bookman Old Style"/>
          <w:bCs/>
          <w:iCs/>
          <w:sz w:val="24"/>
        </w:rPr>
        <w:t>sta línea de acción me ayudó a saber técnicas para mejorar mi aprendizaje y estudio para los exámenes</w:t>
      </w:r>
      <w:r w:rsidR="0001107F">
        <w:rPr>
          <w:rFonts w:ascii="Bookman Old Style" w:hAnsi="Bookman Old Style"/>
          <w:bCs/>
          <w:iCs/>
          <w:sz w:val="24"/>
        </w:rPr>
        <w:t xml:space="preserve">, esto es muy importante ya que en la escuela es muy común encontrarse en esta situación; el presentar exámenes es una forma de evaluación de los docentes para conocer los saberes de los alumnos, estos se ven a partir de primer grado de primaria y hasta en los trabajos se aplican exámenes para saber la capacidad de los trabajadores, sus saberes y si en verdad saben cosas acerca de su trabajo. Nosotras al titularnos de la Escuela normal de educación preescolar, tenemos que </w:t>
      </w:r>
      <w:r w:rsidR="001B488C">
        <w:rPr>
          <w:rFonts w:ascii="Bookman Old Style" w:hAnsi="Bookman Old Style"/>
          <w:bCs/>
          <w:iCs/>
          <w:sz w:val="24"/>
        </w:rPr>
        <w:t xml:space="preserve">aplicar para una prueba para entrar al sistema y poder trabajar como docentes, esto si lo veo muy bueno ya que una persona que dará catedra tiene que saber de lo que esta hablando y debe de estar capacitado, aunque también sería bueno que hubiera un examen de practica porque aunque muchos conocemos y retenemos bien la información, no siempre quiere decir que eres una buena docente, pues muchos no sabemos como ser docentes y transmitir conocimiento. </w:t>
      </w:r>
    </w:p>
    <w:p w:rsidR="001B488C" w:rsidRDefault="001B488C" w:rsidP="0001107F">
      <w:pPr>
        <w:spacing w:line="276" w:lineRule="auto"/>
        <w:jc w:val="both"/>
        <w:rPr>
          <w:rFonts w:ascii="Bookman Old Style" w:hAnsi="Bookman Old Style"/>
          <w:bCs/>
          <w:iCs/>
          <w:sz w:val="24"/>
        </w:rPr>
      </w:pPr>
      <w:r>
        <w:rPr>
          <w:rFonts w:ascii="Bookman Old Style" w:hAnsi="Bookman Old Style"/>
          <w:bCs/>
          <w:iCs/>
          <w:sz w:val="24"/>
        </w:rPr>
        <w:t xml:space="preserve">Una vez aclarado el tema de que en nuestra vida siempre estamos expuestos a las pruebas como los exámenes, podemos abordar que existen varios métodos, estos suelen ser muy eficaces dependiendo de tu aprendizaje ya que se pueden favorecer de distinta manera. Los métodos que vimos en clase pueden ayudarnos mucho y en lo personal yo me identificaba en ciertas líneas de acción o ciertos pasos que siguen estas. Uno de ellos son los apuntes, yo tengo un aprendizaje kinestésico y tengo que realizar esquemas donde acomodo la información de cierta manera que a mi me sirve y tal vez a otro estudiante no. Un consejo que se nos dio y que en lo personal desconocía era el no estudiar en la noche ni horas antes de el examen ya que esto hará que estés muy cansado y que se te olvide todo. Algo que pude observar de las líneas de acción es que todas te recomiendan que mejor estudies algunos temas de una manera </w:t>
      </w:r>
      <w:r w:rsidR="000B3B89">
        <w:rPr>
          <w:rFonts w:ascii="Bookman Old Style" w:hAnsi="Bookman Old Style"/>
          <w:bCs/>
          <w:iCs/>
          <w:sz w:val="24"/>
        </w:rPr>
        <w:t>eficaz que tratar de estudiar todo y al ultimo que esté todo mal y desordenado.</w:t>
      </w:r>
    </w:p>
    <w:p w:rsidR="000B3B89" w:rsidRPr="0001107F" w:rsidRDefault="000B3B89" w:rsidP="0001107F">
      <w:pPr>
        <w:spacing w:line="276" w:lineRule="auto"/>
        <w:jc w:val="both"/>
        <w:rPr>
          <w:rFonts w:ascii="Bookman Old Style" w:hAnsi="Bookman Old Style"/>
          <w:bCs/>
          <w:iCs/>
          <w:sz w:val="24"/>
        </w:rPr>
      </w:pPr>
      <w:r>
        <w:rPr>
          <w:rFonts w:ascii="Bookman Old Style" w:hAnsi="Bookman Old Style"/>
          <w:bCs/>
          <w:iCs/>
          <w:sz w:val="24"/>
        </w:rPr>
        <w:t xml:space="preserve">Esto me ayudó mucho a mejorar en mis evaluaciones ya </w:t>
      </w:r>
      <w:bookmarkStart w:id="0" w:name="_GoBack"/>
      <w:bookmarkEnd w:id="0"/>
      <w:r w:rsidR="004B2B07">
        <w:rPr>
          <w:rFonts w:ascii="Bookman Old Style" w:hAnsi="Bookman Old Style"/>
          <w:bCs/>
          <w:iCs/>
          <w:sz w:val="24"/>
        </w:rPr>
        <w:t>que,</w:t>
      </w:r>
      <w:r>
        <w:rPr>
          <w:rFonts w:ascii="Bookman Old Style" w:hAnsi="Bookman Old Style"/>
          <w:bCs/>
          <w:iCs/>
          <w:sz w:val="24"/>
        </w:rPr>
        <w:t xml:space="preserve"> aunque tengo muy buena memoria, por los nervios se me olvidan ciertas cosas o hasta las confundo, estas líneas de acción me sirvieron en mi entrevista de ingles ya que me enfoqué en las cosas que se me hacían difíciles de comprender y los demás temas que tenía mejor comprensión solo les di un ligero repaso, no estudie tan tarde ni me presioné.</w:t>
      </w:r>
    </w:p>
    <w:sectPr w:rsidR="000B3B89" w:rsidRPr="0001107F" w:rsidSect="0001107F">
      <w:pgSz w:w="12240" w:h="15840"/>
      <w:pgMar w:top="1417" w:right="1701" w:bottom="1417" w:left="1701" w:header="708" w:footer="708" w:gutter="0"/>
      <w:pgBorders w:offsetFrom="page">
        <w:top w:val="pencils" w:sz="28" w:space="24" w:color="auto"/>
        <w:left w:val="pencils" w:sz="28" w:space="24" w:color="auto"/>
        <w:bottom w:val="pencils" w:sz="28" w:space="24" w:color="auto"/>
        <w:right w:val="pencil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0A"/>
    <w:rsid w:val="0001107F"/>
    <w:rsid w:val="000B3B89"/>
    <w:rsid w:val="001B488C"/>
    <w:rsid w:val="003C0E9E"/>
    <w:rsid w:val="004B2B07"/>
    <w:rsid w:val="005A6707"/>
    <w:rsid w:val="00B906B3"/>
    <w:rsid w:val="00CB0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7D39"/>
  <w15:chartTrackingRefBased/>
  <w15:docId w15:val="{E75117CA-161E-4A69-8944-0CC3CD95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3B8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9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2">
      <a:majorFont>
        <a:latin typeface="Calisto MT"/>
        <a:ea typeface=""/>
        <a:cs typeface=""/>
      </a:majorFont>
      <a:minorFont>
        <a:latin typeface="Bookman Old Sty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ALONSO HERNANDEZ HERRERA</dc:creator>
  <cp:keywords/>
  <dc:description/>
  <cp:lastModifiedBy>EMILIO ALONSO HERNANDEZ HERRERA</cp:lastModifiedBy>
  <cp:revision>1</cp:revision>
  <dcterms:created xsi:type="dcterms:W3CDTF">2021-06-20T19:41:00Z</dcterms:created>
  <dcterms:modified xsi:type="dcterms:W3CDTF">2021-06-20T21:37:00Z</dcterms:modified>
</cp:coreProperties>
</file>