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34"/>
          <w:szCs w:val="34"/>
        </w:rPr>
      </w:pPr>
      <w:r w:rsidDel="00000000" w:rsidR="00000000" w:rsidRPr="00000000">
        <w:rPr>
          <w:rFonts w:ascii="Times" w:cs="Times" w:eastAsia="Times" w:hAnsi="Times"/>
          <w:b w:val="1"/>
          <w:sz w:val="34"/>
          <w:szCs w:val="3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sz w:val="30"/>
          <w:szCs w:val="30"/>
        </w:rPr>
      </w:pPr>
      <w:r w:rsidDel="00000000" w:rsidR="00000000" w:rsidRPr="00000000">
        <w:rPr>
          <w:rFonts w:ascii="Times" w:cs="Times" w:eastAsia="Times" w:hAnsi="Times"/>
          <w:sz w:val="30"/>
          <w:szCs w:val="30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2329815</wp:posOffset>
            </wp:positionH>
            <wp:positionV relativeFrom="paragraph">
              <wp:posOffset>99060</wp:posOffset>
            </wp:positionV>
            <wp:extent cx="951547" cy="1193334"/>
            <wp:effectExtent b="0" l="0" r="0" t="0"/>
            <wp:wrapSquare wrapText="bothSides" distB="0" distT="0" distL="114300" distR="11430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22192" r="184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547" cy="11933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Atención a la Diversidad</w:t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Docente: Alejandra Isabel Cárdenas González</w:t>
      </w:r>
    </w:p>
    <w:p w:rsidR="00000000" w:rsidDel="00000000" w:rsidP="00000000" w:rsidRDefault="00000000" w:rsidRPr="00000000" w14:paraId="0000000C">
      <w:pPr>
        <w:jc w:val="center"/>
        <w:rPr>
          <w:rFonts w:ascii="Times" w:cs="Times" w:eastAsia="Times" w:hAnsi="Time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Unidad III.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Hacia la Construcción de Aulas y Comunidades Educativas Inclusivas</w:t>
      </w:r>
    </w:p>
    <w:p w:rsidR="00000000" w:rsidDel="00000000" w:rsidP="00000000" w:rsidRDefault="00000000" w:rsidRPr="00000000" w14:paraId="0000000E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GUIÓN DE OBSERVACIÓN</w:t>
      </w:r>
    </w:p>
    <w:p w:rsidR="00000000" w:rsidDel="00000000" w:rsidP="00000000" w:rsidRDefault="00000000" w:rsidRPr="00000000" w14:paraId="00000010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Identificación de Barreras de Aprendizaje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EQUIPO: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Jazmín Azucena de la Cruz Sánchez - #05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Verónica Esmeralda González Mata - #09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Mariana Gutiérrez Morales - #11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2do año – Sección “A”</w:t>
      </w:r>
    </w:p>
    <w:tbl>
      <w:tblPr>
        <w:tblStyle w:val="Table1"/>
        <w:tblW w:w="8865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"/>
        <w:gridCol w:w="8745"/>
        <w:tblGridChange w:id="0">
          <w:tblGrid>
            <w:gridCol w:w="120"/>
            <w:gridCol w:w="8745"/>
          </w:tblGrid>
        </w:tblGridChange>
      </w:tblGrid>
      <w:tr>
        <w:trPr>
          <w:trHeight w:val="2493.391546874999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ind w:left="0" w:firstLine="0"/>
              <w:jc w:val="left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COMPETENCIAS UNIDAD III: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1440" w:hanging="36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 Detecta los procesos de aprendizaje de sus alumnos para favorecer su desarrollo cognitivo y socioemocional.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both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Aplica el plan y programas de estudio para alcanzar los propósitos educativos y contribuir al pleno desenvolvimiento de las capacidades de sus alumnos.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both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both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Emplea la evaluación para intervenir en los diferentes ámbitos y momentos de la tarea educativa para mejorar los aprendizajes de sus alumnos.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both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Integra recursos de la investigación educativa para enriquecer su práctica profesional, expresando su interés por el conocimiento, la ciencia y la mejora de la educación.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1440" w:hanging="360"/>
              <w:jc w:val="both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Actúa de manera ética ante la diversidad de situaciones que se presentan en la práctica profesional.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before="0" w:beforeAutospacing="0" w:line="276" w:lineRule="auto"/>
              <w:ind w:left="1440" w:hanging="360"/>
              <w:jc w:val="both"/>
              <w:rPr>
                <w:rFonts w:ascii="Times" w:cs="Times" w:eastAsia="Times" w:hAnsi="Time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6"/>
                <w:szCs w:val="16"/>
                <w:rtl w:val="0"/>
              </w:rPr>
              <w:t xml:space="preserve"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000000" w:rsidDel="00000000" w:rsidP="00000000" w:rsidRDefault="00000000" w:rsidRPr="00000000" w14:paraId="00000021">
      <w:pPr>
        <w:jc w:val="left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i w:val="1"/>
          <w:sz w:val="26"/>
          <w:szCs w:val="26"/>
          <w:rtl w:val="0"/>
        </w:rPr>
        <w:t xml:space="preserve">A 22 de junio de 2021                                                                  </w:t>
      </w:r>
      <w:r w:rsidDel="00000000" w:rsidR="00000000" w:rsidRPr="00000000">
        <w:rPr>
          <w:rFonts w:ascii="Times" w:cs="Times" w:eastAsia="Times" w:hAnsi="Times"/>
          <w:sz w:val="26"/>
          <w:szCs w:val="26"/>
          <w:rtl w:val="0"/>
        </w:rPr>
        <w:t xml:space="preserve">Saltillo, Coah.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GUIÓN DE OBSERVACIÓN</w:t>
      </w:r>
    </w:p>
    <w:p w:rsidR="00000000" w:rsidDel="00000000" w:rsidP="00000000" w:rsidRDefault="00000000" w:rsidRPr="00000000" w14:paraId="00000026">
      <w:pPr>
        <w:jc w:val="center"/>
        <w:rPr>
          <w:rFonts w:ascii="Times" w:cs="Times" w:eastAsia="Times" w:hAnsi="Times"/>
          <w:b w:val="1"/>
          <w:i w:val="1"/>
        </w:rPr>
      </w:pP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IDENTIFICACIÓN DE BARRERAS DE APRENDIZAJE</w:t>
      </w:r>
    </w:p>
    <w:p w:rsidR="00000000" w:rsidDel="00000000" w:rsidP="00000000" w:rsidRDefault="00000000" w:rsidRPr="00000000" w14:paraId="00000027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El propósito de este instrumento es ayudar al docente en la identificación de las barreras de aprendizaje que los alumnos afrontan y que le impiden realizar las actividades de manera favorable.</w:t>
      </w:r>
    </w:p>
    <w:p w:rsidR="00000000" w:rsidDel="00000000" w:rsidP="00000000" w:rsidRDefault="00000000" w:rsidRPr="00000000" w14:paraId="00000029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Nombre del alumno:_______________________________________________________</w:t>
      </w:r>
    </w:p>
    <w:p w:rsidR="00000000" w:rsidDel="00000000" w:rsidP="00000000" w:rsidRDefault="00000000" w:rsidRPr="00000000" w14:paraId="0000002B">
      <w:pPr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Grado: ______</w:t>
        <w:tab/>
        <w:t xml:space="preserve">Sección:______</w:t>
        <w:tab/>
        <w:t xml:space="preserve">Edad:_______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0"/>
        <w:gridCol w:w="26"/>
        <w:gridCol w:w="817"/>
        <w:gridCol w:w="964"/>
        <w:gridCol w:w="5245"/>
        <w:tblGridChange w:id="0">
          <w:tblGrid>
            <w:gridCol w:w="3580"/>
            <w:gridCol w:w="26"/>
            <w:gridCol w:w="817"/>
            <w:gridCol w:w="964"/>
            <w:gridCol w:w="5245"/>
          </w:tblGrid>
        </w:tblGridChange>
      </w:tblGrid>
      <w:tr>
        <w:trPr>
          <w:trHeight w:val="410.99999999999994" w:hRule="atLeast"/>
        </w:trPr>
        <w:tc>
          <w:tcPr>
            <w:gridSpan w:val="5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8"/>
                <w:szCs w:val="28"/>
                <w:rtl w:val="0"/>
              </w:rPr>
              <w:t xml:space="preserve">GUIÓN DE OBSERVACIÓN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INDICADOR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SÍ LO HACE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NO LO HACE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" w:cs="Times" w:eastAsia="Times" w:hAnsi="Times"/>
                <w:i w:val="1"/>
              </w:rPr>
            </w:pPr>
            <w:r w:rsidDel="00000000" w:rsidR="00000000" w:rsidRPr="00000000">
              <w:rPr>
                <w:rFonts w:ascii="Times" w:cs="Times" w:eastAsia="Times" w:hAnsi="Times"/>
                <w:i w:val="1"/>
                <w:rtl w:val="0"/>
              </w:rPr>
              <w:t xml:space="preserve">OBSERVACIONES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DEL LENGUAJE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Usa muy pocas palabras, frases muy cortas o no habla.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¿Presenta dificultades en la articulación de ciertos fonemas lingüísticos?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timidez al hablar.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se comunica con sus compañeros o su instructor.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Utiliza mímica o gestos como medio de comunicación. 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COGNITIVO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Se le complica organizarse y terminar los trabajos.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Presenta corta memoria para recordar las indicaciones que se le dio.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Le cuesta realizar las actividades.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Tiene problemas en la comprensión de los temas.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Se distrae con facilidad.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Toma decisiones por sí mismo.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EMOCIONAL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Demuestra sus sentimientos y emociones.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¿Es aceptado por sus compañeros de clase?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interés y gusto por las actividades.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confianza y seguridad.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Tiene empatía hacia sus compañeros.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conductas agradables.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SOCIAL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Le es difícil adaptarse a situaciones nuevas, diferentes o con mayor grado de dificultad.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se adapta al ambiente escolar, ni al grupo, después de un período prolongado.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Utiliza el llanto como medio de expresión ante la frustración.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¿Participa en actividades de roles?.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juega con sus iguales.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No interactúa con los adultos.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¿Sigue reglas?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DESARROLLO MOTOR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Muestra dominio en su motricidad fina.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¿Le gusta participar en actividades físicas?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Mantiene el equilibrio de forma autónoma.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Tiene coordinación en su motricidad gruesa.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Responde a estímulos espontáneos (música, cosquillas, tacto).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EXPRESIÓN DEL GÉNERO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Identifica las partes de su cuerpo.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Manifiesta cuáles son sus preferencias en color, ropa, comida con facilidad.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¿Se identifica con algún género? 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Interactúa con otras niñas o niños del aula con respeto y amabilidad.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Distingue que los géneros pueden desempeñar distintos roles.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Cutive" w:cs="Cutive" w:eastAsia="Cutive" w:hAnsi="Cutiv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utive" w:cs="Cutive" w:eastAsia="Cutive" w:hAnsi="Cutiv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utive" w:cs="Cutive" w:eastAsia="Cutive" w:hAnsi="Cutiv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"/>
  <w:font w:name="Noto Sans Symbols"/>
  <w:font w:name="Cutiv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39D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139D0"/>
    <w:pPr>
      <w:ind w:left="720"/>
      <w:contextualSpacing w:val="1"/>
    </w:pPr>
  </w:style>
  <w:style w:type="paragraph" w:styleId="Sinespaciado">
    <w:name w:val="No Spacing"/>
    <w:uiPriority w:val="1"/>
    <w:qFormat w:val="1"/>
    <w:rsid w:val="00471FEE"/>
  </w:style>
  <w:style w:type="character" w:styleId="Hipervnculo">
    <w:name w:val="Hyperlink"/>
    <w:basedOn w:val="Fuentedeprrafopredeter"/>
    <w:uiPriority w:val="99"/>
    <w:unhideWhenUsed w:val="1"/>
    <w:rsid w:val="00471F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03BC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094B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uentedeprrafopredeter"/>
    <w:rsid w:val="00297B25"/>
  </w:style>
  <w:style w:type="paragraph" w:styleId="trt0xe" w:customStyle="1">
    <w:name w:val="trt0xe"/>
    <w:basedOn w:val="Normal"/>
    <w:rsid w:val="00297B2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paragraph" w:styleId="NormalWeb">
    <w:name w:val="Normal (Web)"/>
    <w:basedOn w:val="Normal"/>
    <w:uiPriority w:val="99"/>
    <w:unhideWhenUsed w:val="1"/>
    <w:rsid w:val="009B1DD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character" w:styleId="Textoennegrita">
    <w:name w:val="Strong"/>
    <w:basedOn w:val="Fuentedeprrafopredeter"/>
    <w:uiPriority w:val="22"/>
    <w:qFormat w:val="1"/>
    <w:rsid w:val="009B1DD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uDkpQxJS7G53cmHMd419h/J2g==">AMUW2mWsVX+Gk/u1Il016NRWagf2HE/4Gqr6WHFU2uJ9Ez6YSQHEpUK3cz++3HX8XEokkTI8bsHZe3YonKr1qnF1wXg0iDEVznUdDA9p7V3sYAScoD5whO8=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2020-09-28T01:59:00Z</dcterms:created>
  <dc:creator>Mariana Gutiérrez Morales</dc:creator>
</cp:coreProperties>
</file>