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7A" w:rsidRDefault="002505BE">
      <w:pPr>
        <w:jc w:val="center"/>
        <w:rPr>
          <w:b/>
          <w:color w:val="000000"/>
          <w:sz w:val="48"/>
          <w:szCs w:val="48"/>
        </w:rPr>
      </w:pPr>
      <w:r>
        <w:rPr>
          <w:b/>
          <w:color w:val="000000"/>
          <w:sz w:val="48"/>
          <w:szCs w:val="48"/>
        </w:rPr>
        <w:t xml:space="preserve">        Escuela Normal de Educación Preescolar</w:t>
      </w:r>
      <w:r>
        <w:rPr>
          <w:noProof/>
        </w:rPr>
        <w:drawing>
          <wp:anchor distT="0" distB="0" distL="114300" distR="114300" simplePos="0" relativeHeight="251658240" behindDoc="0" locked="0" layoutInCell="1" hidden="0" allowOverlap="1">
            <wp:simplePos x="0" y="0"/>
            <wp:positionH relativeFrom="column">
              <wp:posOffset>-123824</wp:posOffset>
            </wp:positionH>
            <wp:positionV relativeFrom="paragraph">
              <wp:posOffset>-554354</wp:posOffset>
            </wp:positionV>
            <wp:extent cx="1085850" cy="1565275"/>
            <wp:effectExtent l="0" t="0" r="0" b="0"/>
            <wp:wrapNone/>
            <wp:docPr id="1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5"/>
                    <a:srcRect l="21538" t="-10191" r="16923" b="-1"/>
                    <a:stretch>
                      <a:fillRect/>
                    </a:stretch>
                  </pic:blipFill>
                  <pic:spPr>
                    <a:xfrm>
                      <a:off x="0" y="0"/>
                      <a:ext cx="1085850" cy="1565275"/>
                    </a:xfrm>
                    <a:prstGeom prst="rect">
                      <a:avLst/>
                    </a:prstGeom>
                    <a:ln/>
                  </pic:spPr>
                </pic:pic>
              </a:graphicData>
            </a:graphic>
          </wp:anchor>
        </w:drawing>
      </w:r>
    </w:p>
    <w:p w:rsidR="00827B7A" w:rsidRDefault="002505BE">
      <w:pPr>
        <w:tabs>
          <w:tab w:val="left" w:pos="497"/>
          <w:tab w:val="center" w:pos="4419"/>
        </w:tabs>
        <w:jc w:val="center"/>
        <w:rPr>
          <w:rFonts w:ascii="CHICKEN Pie Height" w:eastAsia="CHICKEN Pie Height" w:hAnsi="CHICKEN Pie Height" w:cs="CHICKEN Pie Height"/>
          <w:sz w:val="40"/>
          <w:szCs w:val="40"/>
        </w:rPr>
      </w:pPr>
      <w:r>
        <w:rPr>
          <w:rFonts w:ascii="CHICKEN Pie Height" w:eastAsia="CHICKEN Pie Height" w:hAnsi="CHICKEN Pie Height" w:cs="CHICKEN Pie Height"/>
          <w:sz w:val="40"/>
          <w:szCs w:val="40"/>
        </w:rPr>
        <w:t>Licenciatura en Educación Preescolar.</w:t>
      </w:r>
    </w:p>
    <w:p w:rsidR="00827B7A" w:rsidRDefault="002505BE">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Ciclo Escolar 2021</w:t>
      </w:r>
    </w:p>
    <w:p w:rsidR="00827B7A" w:rsidRDefault="002505BE">
      <w:pPr>
        <w:spacing w:line="360" w:lineRule="auto"/>
        <w:jc w:val="both"/>
        <w:rPr>
          <w:rFonts w:ascii="Arial" w:eastAsia="Arial" w:hAnsi="Arial" w:cs="Arial"/>
          <w:color w:val="FFFFFF"/>
          <w:sz w:val="10"/>
          <w:szCs w:val="10"/>
        </w:rPr>
      </w:pPr>
      <w:r>
        <w:rPr>
          <w:rFonts w:ascii="Arial" w:eastAsia="Arial" w:hAnsi="Arial" w:cs="Arial"/>
          <w:color w:val="FFFFFF"/>
          <w:sz w:val="24"/>
          <w:szCs w:val="24"/>
        </w:rPr>
        <w:t>P</w:t>
      </w:r>
      <w:r>
        <w:rPr>
          <w:rFonts w:ascii="Arial" w:eastAsia="Arial" w:hAnsi="Arial" w:cs="Arial"/>
          <w:color w:val="FFFFFF"/>
          <w:sz w:val="10"/>
          <w:szCs w:val="10"/>
        </w:rPr>
        <w:t>ersonajes invitados, invitar a una persona de la comunidad tales como lideres, abuelos y otros, para que lleguen a la escuela a leer y contar historias a los estudiantes</w:t>
      </w:r>
    </w:p>
    <w:p w:rsidR="00827B7A" w:rsidRDefault="002505BE">
      <w:pPr>
        <w:jc w:val="center"/>
        <w:rPr>
          <w:color w:val="000000"/>
          <w:sz w:val="36"/>
          <w:szCs w:val="36"/>
        </w:rPr>
      </w:pPr>
      <w:r>
        <w:rPr>
          <w:b/>
          <w:color w:val="000000"/>
          <w:sz w:val="36"/>
          <w:szCs w:val="36"/>
        </w:rPr>
        <w:t>Materia:</w:t>
      </w:r>
      <w:r>
        <w:rPr>
          <w:color w:val="000000"/>
          <w:sz w:val="36"/>
          <w:szCs w:val="36"/>
        </w:rPr>
        <w:t xml:space="preserve"> </w:t>
      </w:r>
      <w:r>
        <w:rPr>
          <w:rFonts w:ascii="Arial" w:eastAsia="Arial" w:hAnsi="Arial" w:cs="Arial"/>
          <w:sz w:val="28"/>
          <w:szCs w:val="28"/>
        </w:rPr>
        <w:t>“Desarrollo de la competencia lectoral”</w:t>
      </w:r>
    </w:p>
    <w:p w:rsidR="00827B7A" w:rsidRDefault="00827B7A">
      <w:pPr>
        <w:jc w:val="center"/>
        <w:rPr>
          <w:color w:val="000000"/>
          <w:sz w:val="36"/>
          <w:szCs w:val="36"/>
        </w:rPr>
      </w:pPr>
    </w:p>
    <w:p w:rsidR="00827B7A" w:rsidRDefault="002505BE">
      <w:pPr>
        <w:jc w:val="center"/>
        <w:rPr>
          <w:b/>
          <w:color w:val="000000"/>
          <w:sz w:val="36"/>
          <w:szCs w:val="36"/>
        </w:rPr>
      </w:pPr>
      <w:r>
        <w:rPr>
          <w:b/>
          <w:color w:val="000000"/>
          <w:sz w:val="36"/>
          <w:szCs w:val="36"/>
        </w:rPr>
        <w:t xml:space="preserve">Evidencia </w:t>
      </w:r>
    </w:p>
    <w:p w:rsidR="00827B7A" w:rsidRDefault="00827B7A">
      <w:pPr>
        <w:jc w:val="center"/>
        <w:rPr>
          <w:color w:val="000000"/>
          <w:sz w:val="36"/>
          <w:szCs w:val="36"/>
        </w:rPr>
      </w:pPr>
    </w:p>
    <w:p w:rsidR="00827B7A" w:rsidRDefault="002505BE">
      <w:pPr>
        <w:jc w:val="center"/>
        <w:rPr>
          <w:sz w:val="36"/>
          <w:szCs w:val="36"/>
        </w:rPr>
      </w:pPr>
      <w:r>
        <w:rPr>
          <w:b/>
          <w:sz w:val="36"/>
          <w:szCs w:val="36"/>
        </w:rPr>
        <w:t>Nombre:</w:t>
      </w:r>
      <w:r>
        <w:rPr>
          <w:sz w:val="36"/>
          <w:szCs w:val="36"/>
        </w:rPr>
        <w:t xml:space="preserve"> Paola Davila Peña </w:t>
      </w:r>
    </w:p>
    <w:p w:rsidR="00827B7A" w:rsidRDefault="002505BE">
      <w:pPr>
        <w:spacing w:line="360" w:lineRule="auto"/>
        <w:jc w:val="both"/>
        <w:rPr>
          <w:rFonts w:ascii="Arial" w:eastAsia="Arial" w:hAnsi="Arial" w:cs="Arial"/>
          <w:color w:val="FFFFFF"/>
          <w:sz w:val="4"/>
          <w:szCs w:val="4"/>
        </w:rPr>
      </w:pPr>
      <w:r>
        <w:rPr>
          <w:rFonts w:ascii="Arial" w:eastAsia="Arial" w:hAnsi="Arial" w:cs="Arial"/>
          <w:color w:val="FFFFFF"/>
          <w:sz w:val="10"/>
          <w:szCs w:val="10"/>
        </w:rPr>
        <w:t xml:space="preserve">ajes invitados, invitar a una persona de la comunidad tales como </w:t>
      </w:r>
      <w:r>
        <w:rPr>
          <w:rFonts w:ascii="Arial" w:eastAsia="Arial" w:hAnsi="Arial" w:cs="Arial"/>
          <w:color w:val="FFFFFF"/>
          <w:sz w:val="4"/>
          <w:szCs w:val="4"/>
        </w:rPr>
        <w:t>lideres, abuelos y otros, para qulleguen a la escuela a leer y contar historias a los estudiantes</w:t>
      </w:r>
    </w:p>
    <w:p w:rsidR="00827B7A" w:rsidRDefault="002505BE">
      <w:pPr>
        <w:pStyle w:val="Ttulo3"/>
        <w:spacing w:before="30" w:after="30"/>
        <w:ind w:left="60"/>
        <w:jc w:val="center"/>
        <w:rPr>
          <w:rFonts w:ascii="Arial" w:eastAsia="Arial" w:hAnsi="Arial" w:cs="Arial"/>
          <w:color w:val="000000"/>
          <w:sz w:val="26"/>
          <w:szCs w:val="26"/>
        </w:rPr>
      </w:pPr>
      <w:r>
        <w:rPr>
          <w:color w:val="000000"/>
          <w:sz w:val="36"/>
          <w:szCs w:val="36"/>
        </w:rPr>
        <w:t>Maestro:</w:t>
      </w:r>
      <w:r>
        <w:rPr>
          <w:rFonts w:ascii="Arial" w:eastAsia="Arial" w:hAnsi="Arial" w:cs="Arial"/>
          <w:color w:val="000000"/>
          <w:sz w:val="26"/>
          <w:szCs w:val="26"/>
        </w:rPr>
        <w:t> </w:t>
      </w:r>
      <w:hyperlink r:id="rId6">
        <w:r>
          <w:rPr>
            <w:rFonts w:ascii="Arial" w:eastAsia="Arial" w:hAnsi="Arial" w:cs="Arial"/>
            <w:color w:val="000000"/>
            <w:sz w:val="26"/>
            <w:szCs w:val="26"/>
            <w:u w:val="single"/>
          </w:rPr>
          <w:t>Humberto Valdez Sanchez</w:t>
        </w:r>
      </w:hyperlink>
    </w:p>
    <w:p w:rsidR="00827B7A" w:rsidRDefault="00827B7A">
      <w:pPr>
        <w:rPr>
          <w:color w:val="000000"/>
          <w:sz w:val="36"/>
          <w:szCs w:val="36"/>
        </w:rPr>
      </w:pPr>
    </w:p>
    <w:p w:rsidR="00827B7A" w:rsidRDefault="002505BE">
      <w:pPr>
        <w:jc w:val="center"/>
        <w:rPr>
          <w:sz w:val="36"/>
          <w:szCs w:val="36"/>
        </w:rPr>
      </w:pPr>
      <w:r>
        <w:rPr>
          <w:sz w:val="36"/>
          <w:szCs w:val="36"/>
        </w:rPr>
        <w:t>Cuarto semestre</w:t>
      </w:r>
    </w:p>
    <w:p w:rsidR="00827B7A" w:rsidRDefault="00827B7A">
      <w:pPr>
        <w:jc w:val="center"/>
        <w:rPr>
          <w:color w:val="000000"/>
          <w:sz w:val="36"/>
          <w:szCs w:val="36"/>
        </w:rPr>
      </w:pPr>
    </w:p>
    <w:p w:rsidR="00827B7A" w:rsidRDefault="002505BE">
      <w:pPr>
        <w:jc w:val="center"/>
        <w:rPr>
          <w:sz w:val="36"/>
          <w:szCs w:val="36"/>
        </w:rPr>
      </w:pPr>
      <w:r>
        <w:rPr>
          <w:sz w:val="36"/>
          <w:szCs w:val="36"/>
        </w:rPr>
        <w:t>2 C</w:t>
      </w:r>
    </w:p>
    <w:p w:rsidR="00827B7A" w:rsidRDefault="00827B7A">
      <w:pPr>
        <w:jc w:val="center"/>
        <w:rPr>
          <w:sz w:val="36"/>
          <w:szCs w:val="36"/>
        </w:rPr>
      </w:pPr>
    </w:p>
    <w:p w:rsidR="00827B7A" w:rsidRDefault="00827B7A">
      <w:pPr>
        <w:jc w:val="center"/>
        <w:rPr>
          <w:sz w:val="36"/>
          <w:szCs w:val="36"/>
        </w:rPr>
      </w:pPr>
    </w:p>
    <w:p w:rsidR="00827B7A" w:rsidRDefault="00827B7A">
      <w:pPr>
        <w:jc w:val="center"/>
        <w:rPr>
          <w:sz w:val="36"/>
          <w:szCs w:val="36"/>
        </w:rPr>
      </w:pPr>
    </w:p>
    <w:p w:rsidR="00827B7A" w:rsidRDefault="00827B7A">
      <w:pPr>
        <w:jc w:val="center"/>
        <w:rPr>
          <w:sz w:val="36"/>
          <w:szCs w:val="36"/>
        </w:rPr>
      </w:pPr>
    </w:p>
    <w:p w:rsidR="00827B7A" w:rsidRDefault="00827B7A">
      <w:pPr>
        <w:jc w:val="center"/>
        <w:rPr>
          <w:sz w:val="36"/>
          <w:szCs w:val="36"/>
        </w:rPr>
      </w:pPr>
    </w:p>
    <w:p w:rsidR="00827B7A" w:rsidRDefault="00827B7A">
      <w:pPr>
        <w:jc w:val="center"/>
        <w:rPr>
          <w:sz w:val="36"/>
          <w:szCs w:val="36"/>
        </w:rPr>
      </w:pPr>
    </w:p>
    <w:p w:rsidR="00827B7A" w:rsidRDefault="00827B7A">
      <w:pPr>
        <w:jc w:val="center"/>
        <w:rPr>
          <w:sz w:val="36"/>
          <w:szCs w:val="36"/>
        </w:rPr>
      </w:pPr>
    </w:p>
    <w:p w:rsidR="00827B7A" w:rsidRDefault="002505BE">
      <w:pPr>
        <w:jc w:val="center"/>
        <w:rPr>
          <w:sz w:val="36"/>
          <w:szCs w:val="36"/>
        </w:rPr>
      </w:pPr>
      <w:r>
        <w:rPr>
          <w:sz w:val="36"/>
          <w:szCs w:val="36"/>
        </w:rPr>
        <w:t>Competencias del curso</w:t>
      </w:r>
    </w:p>
    <w:tbl>
      <w:tblPr>
        <w:tblStyle w:val="a"/>
        <w:tblW w:w="882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822"/>
      </w:tblGrid>
      <w:tr w:rsidR="00827B7A">
        <w:tc>
          <w:tcPr>
            <w:tcW w:w="8822" w:type="dxa"/>
            <w:tcBorders>
              <w:top w:val="single" w:sz="6" w:space="0" w:color="000000"/>
              <w:left w:val="single" w:sz="6" w:space="0" w:color="000000"/>
              <w:bottom w:val="single" w:sz="6" w:space="0" w:color="000000"/>
              <w:right w:val="single" w:sz="6" w:space="0" w:color="000000"/>
            </w:tcBorders>
            <w:vAlign w:val="center"/>
          </w:tcPr>
          <w:p w:rsidR="00827B7A" w:rsidRDefault="002505BE">
            <w:pPr>
              <w:spacing w:after="0" w:line="240" w:lineRule="auto"/>
              <w:ind w:left="60"/>
              <w:jc w:val="both"/>
              <w:rPr>
                <w:rFonts w:ascii="Verdana" w:eastAsia="Verdana" w:hAnsi="Verdana" w:cs="Verdana"/>
                <w:color w:val="000000"/>
                <w:sz w:val="24"/>
                <w:szCs w:val="24"/>
              </w:rPr>
            </w:pPr>
            <w:r>
              <w:rPr>
                <w:rFonts w:ascii="Verdana" w:eastAsia="Verdana" w:hAnsi="Verdana" w:cs="Verdana"/>
                <w:color w:val="000000"/>
                <w:sz w:val="24"/>
                <w:szCs w:val="24"/>
              </w:rPr>
              <w:t>UNIDAD DE APRENDIZAJE I. SABER LO QUE ES LEER.</w:t>
            </w:r>
          </w:p>
        </w:tc>
      </w:tr>
      <w:tr w:rsidR="00827B7A">
        <w:tc>
          <w:tcPr>
            <w:tcW w:w="8822" w:type="dxa"/>
            <w:tcBorders>
              <w:top w:val="single" w:sz="6" w:space="0" w:color="000000"/>
              <w:left w:val="single" w:sz="6" w:space="0" w:color="000000"/>
              <w:bottom w:val="single" w:sz="6" w:space="0" w:color="000000"/>
              <w:right w:val="single" w:sz="6" w:space="0" w:color="000000"/>
            </w:tcBorders>
            <w:vAlign w:val="center"/>
          </w:tcPr>
          <w:p w:rsidR="00827B7A" w:rsidRDefault="00827B7A">
            <w:pPr>
              <w:widowControl w:val="0"/>
              <w:pBdr>
                <w:top w:val="nil"/>
                <w:left w:val="nil"/>
                <w:bottom w:val="nil"/>
                <w:right w:val="nil"/>
                <w:between w:val="nil"/>
              </w:pBdr>
              <w:spacing w:after="0" w:line="276" w:lineRule="auto"/>
              <w:rPr>
                <w:rFonts w:ascii="Verdana" w:eastAsia="Verdana" w:hAnsi="Verdana" w:cs="Verdana"/>
                <w:color w:val="000000"/>
                <w:sz w:val="24"/>
                <w:szCs w:val="24"/>
              </w:rPr>
            </w:pPr>
          </w:p>
          <w:tbl>
            <w:tblPr>
              <w:tblStyle w:val="a0"/>
              <w:tblW w:w="8672" w:type="dxa"/>
              <w:tblInd w:w="60" w:type="dxa"/>
              <w:tblLayout w:type="fixed"/>
              <w:tblLook w:val="0400" w:firstRow="0" w:lastRow="0" w:firstColumn="0" w:lastColumn="0" w:noHBand="0" w:noVBand="1"/>
            </w:tblPr>
            <w:tblGrid>
              <w:gridCol w:w="315"/>
              <w:gridCol w:w="8357"/>
            </w:tblGrid>
            <w:tr w:rsidR="00827B7A">
              <w:tc>
                <w:tcPr>
                  <w:tcW w:w="315" w:type="dxa"/>
                </w:tcPr>
                <w:p w:rsidR="00827B7A" w:rsidRDefault="002505BE">
                  <w:pPr>
                    <w:spacing w:after="0" w:line="240" w:lineRule="auto"/>
                    <w:ind w:left="60"/>
                    <w:jc w:val="both"/>
                    <w:rPr>
                      <w:rFonts w:ascii="Verdana" w:eastAsia="Verdana" w:hAnsi="Verdana" w:cs="Verdana"/>
                      <w:color w:val="000000"/>
                      <w:sz w:val="24"/>
                      <w:szCs w:val="24"/>
                    </w:rPr>
                  </w:pPr>
                  <w:r>
                    <w:rPr>
                      <w:rFonts w:ascii="Verdana" w:eastAsia="Verdana" w:hAnsi="Verdana" w:cs="Verdana"/>
                      <w:noProof/>
                      <w:color w:val="000000"/>
                      <w:sz w:val="24"/>
                      <w:szCs w:val="24"/>
                    </w:rPr>
                    <w:drawing>
                      <wp:inline distT="0" distB="0" distL="0" distR="0">
                        <wp:extent cx="104775" cy="104775"/>
                        <wp:effectExtent l="0" t="0" r="0" b="0"/>
                        <wp:docPr id="14" name="image1.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1.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357" w:type="dxa"/>
                </w:tcPr>
                <w:p w:rsidR="00827B7A" w:rsidRDefault="002505BE">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Detecta los procesos de aprendizaje de sus alumnos para favorecer su desarrollo cognitivo y socioemocional.</w:t>
                  </w:r>
                </w:p>
              </w:tc>
            </w:tr>
          </w:tbl>
          <w:p w:rsidR="00827B7A" w:rsidRDefault="00827B7A">
            <w:pPr>
              <w:widowControl w:val="0"/>
              <w:pBdr>
                <w:top w:val="nil"/>
                <w:left w:val="nil"/>
                <w:bottom w:val="nil"/>
                <w:right w:val="nil"/>
                <w:between w:val="nil"/>
              </w:pBdr>
              <w:spacing w:after="0" w:line="276" w:lineRule="auto"/>
              <w:rPr>
                <w:rFonts w:ascii="Verdana" w:eastAsia="Verdana" w:hAnsi="Verdana" w:cs="Verdana"/>
                <w:color w:val="000000"/>
                <w:sz w:val="24"/>
                <w:szCs w:val="24"/>
              </w:rPr>
            </w:pPr>
          </w:p>
          <w:tbl>
            <w:tblPr>
              <w:tblStyle w:val="a1"/>
              <w:tblW w:w="8672" w:type="dxa"/>
              <w:tblInd w:w="60" w:type="dxa"/>
              <w:tblLayout w:type="fixed"/>
              <w:tblLook w:val="0400" w:firstRow="0" w:lastRow="0" w:firstColumn="0" w:lastColumn="0" w:noHBand="0" w:noVBand="1"/>
            </w:tblPr>
            <w:tblGrid>
              <w:gridCol w:w="315"/>
              <w:gridCol w:w="8357"/>
            </w:tblGrid>
            <w:tr w:rsidR="00827B7A">
              <w:tc>
                <w:tcPr>
                  <w:tcW w:w="315" w:type="dxa"/>
                </w:tcPr>
                <w:p w:rsidR="00827B7A" w:rsidRDefault="002505BE">
                  <w:pPr>
                    <w:spacing w:after="0" w:line="240" w:lineRule="auto"/>
                    <w:ind w:left="60"/>
                    <w:jc w:val="both"/>
                    <w:rPr>
                      <w:rFonts w:ascii="Verdana" w:eastAsia="Verdana" w:hAnsi="Verdana" w:cs="Verdana"/>
                      <w:color w:val="000000"/>
                      <w:sz w:val="24"/>
                      <w:szCs w:val="24"/>
                    </w:rPr>
                  </w:pPr>
                  <w:r>
                    <w:rPr>
                      <w:rFonts w:ascii="Verdana" w:eastAsia="Verdana" w:hAnsi="Verdana" w:cs="Verdana"/>
                      <w:noProof/>
                      <w:color w:val="000000"/>
                      <w:sz w:val="24"/>
                      <w:szCs w:val="24"/>
                    </w:rPr>
                    <w:drawing>
                      <wp:inline distT="0" distB="0" distL="0" distR="0">
                        <wp:extent cx="104775" cy="104775"/>
                        <wp:effectExtent l="0" t="0" r="0" b="0"/>
                        <wp:docPr id="13" name="image1.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1.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357" w:type="dxa"/>
                </w:tcPr>
                <w:p w:rsidR="00827B7A" w:rsidRDefault="002505BE">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Integra recursos de la investigación educativa para enriquecer su práctica profesional, expresando su interés por el conocimiento, la ciencia y la mejora de la educación.</w:t>
                  </w:r>
                </w:p>
              </w:tc>
            </w:tr>
          </w:tbl>
          <w:p w:rsidR="00827B7A" w:rsidRDefault="00827B7A">
            <w:pPr>
              <w:spacing w:after="0" w:line="240" w:lineRule="auto"/>
              <w:ind w:left="60"/>
              <w:jc w:val="both"/>
              <w:rPr>
                <w:rFonts w:ascii="Verdana" w:eastAsia="Verdana" w:hAnsi="Verdana" w:cs="Verdana"/>
                <w:color w:val="000000"/>
                <w:sz w:val="24"/>
                <w:szCs w:val="24"/>
              </w:rPr>
            </w:pPr>
          </w:p>
        </w:tc>
      </w:tr>
      <w:tr w:rsidR="00827B7A">
        <w:tc>
          <w:tcPr>
            <w:tcW w:w="8822" w:type="dxa"/>
            <w:tcBorders>
              <w:top w:val="single" w:sz="6" w:space="0" w:color="000000"/>
              <w:left w:val="single" w:sz="6" w:space="0" w:color="000000"/>
              <w:bottom w:val="single" w:sz="6" w:space="0" w:color="000000"/>
              <w:right w:val="single" w:sz="6" w:space="0" w:color="000000"/>
            </w:tcBorders>
            <w:vAlign w:val="center"/>
          </w:tcPr>
          <w:p w:rsidR="00827B7A" w:rsidRDefault="002505BE">
            <w:pPr>
              <w:spacing w:after="0" w:line="240" w:lineRule="auto"/>
              <w:ind w:left="60"/>
              <w:jc w:val="both"/>
              <w:rPr>
                <w:rFonts w:ascii="Verdana" w:eastAsia="Verdana" w:hAnsi="Verdana" w:cs="Verdana"/>
                <w:color w:val="000000"/>
                <w:sz w:val="24"/>
                <w:szCs w:val="24"/>
              </w:rPr>
            </w:pPr>
            <w:r>
              <w:rPr>
                <w:rFonts w:ascii="Verdana" w:eastAsia="Verdana" w:hAnsi="Verdana" w:cs="Verdana"/>
                <w:color w:val="000000"/>
                <w:sz w:val="24"/>
                <w:szCs w:val="24"/>
              </w:rPr>
              <w:t>UNIDAD DE APRENDIZAJE II. EL LECTOR ANTE LOS TEXTOS.</w:t>
            </w:r>
          </w:p>
        </w:tc>
      </w:tr>
      <w:tr w:rsidR="00827B7A">
        <w:tc>
          <w:tcPr>
            <w:tcW w:w="8822" w:type="dxa"/>
            <w:tcBorders>
              <w:top w:val="single" w:sz="6" w:space="0" w:color="000000"/>
              <w:left w:val="single" w:sz="6" w:space="0" w:color="000000"/>
              <w:bottom w:val="single" w:sz="6" w:space="0" w:color="000000"/>
              <w:right w:val="single" w:sz="6" w:space="0" w:color="000000"/>
            </w:tcBorders>
            <w:vAlign w:val="center"/>
          </w:tcPr>
          <w:p w:rsidR="00827B7A" w:rsidRDefault="00827B7A">
            <w:pPr>
              <w:widowControl w:val="0"/>
              <w:pBdr>
                <w:top w:val="nil"/>
                <w:left w:val="nil"/>
                <w:bottom w:val="nil"/>
                <w:right w:val="nil"/>
                <w:between w:val="nil"/>
              </w:pBdr>
              <w:spacing w:after="0" w:line="276" w:lineRule="auto"/>
              <w:rPr>
                <w:rFonts w:ascii="Verdana" w:eastAsia="Verdana" w:hAnsi="Verdana" w:cs="Verdana"/>
                <w:color w:val="000000"/>
                <w:sz w:val="24"/>
                <w:szCs w:val="24"/>
              </w:rPr>
            </w:pPr>
          </w:p>
          <w:tbl>
            <w:tblPr>
              <w:tblStyle w:val="a2"/>
              <w:tblW w:w="8672" w:type="dxa"/>
              <w:tblInd w:w="60" w:type="dxa"/>
              <w:tblLayout w:type="fixed"/>
              <w:tblLook w:val="0400" w:firstRow="0" w:lastRow="0" w:firstColumn="0" w:lastColumn="0" w:noHBand="0" w:noVBand="1"/>
            </w:tblPr>
            <w:tblGrid>
              <w:gridCol w:w="315"/>
              <w:gridCol w:w="8357"/>
            </w:tblGrid>
            <w:tr w:rsidR="00827B7A">
              <w:tc>
                <w:tcPr>
                  <w:tcW w:w="315" w:type="dxa"/>
                </w:tcPr>
                <w:p w:rsidR="00827B7A" w:rsidRDefault="002505BE">
                  <w:pPr>
                    <w:spacing w:after="0" w:line="240" w:lineRule="auto"/>
                    <w:ind w:left="60"/>
                    <w:jc w:val="both"/>
                    <w:rPr>
                      <w:rFonts w:ascii="Verdana" w:eastAsia="Verdana" w:hAnsi="Verdana" w:cs="Verdana"/>
                      <w:color w:val="000000"/>
                      <w:sz w:val="24"/>
                      <w:szCs w:val="24"/>
                    </w:rPr>
                  </w:pPr>
                  <w:r>
                    <w:rPr>
                      <w:rFonts w:ascii="Verdana" w:eastAsia="Verdana" w:hAnsi="Verdana" w:cs="Verdana"/>
                      <w:noProof/>
                      <w:color w:val="000000"/>
                      <w:sz w:val="24"/>
                      <w:szCs w:val="24"/>
                    </w:rPr>
                    <w:drawing>
                      <wp:inline distT="0" distB="0" distL="0" distR="0">
                        <wp:extent cx="104775" cy="104775"/>
                        <wp:effectExtent l="0" t="0" r="0" b="0"/>
                        <wp:docPr id="16" name="image1.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1.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357" w:type="dxa"/>
                </w:tcPr>
                <w:p w:rsidR="00827B7A" w:rsidRDefault="002505BE">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Detecta los procesos de aprendizaje de sus alumnos para favorecer su desarrollo cognitivo y socioemocional.</w:t>
                  </w:r>
                </w:p>
              </w:tc>
            </w:tr>
          </w:tbl>
          <w:p w:rsidR="00827B7A" w:rsidRDefault="00827B7A">
            <w:pPr>
              <w:widowControl w:val="0"/>
              <w:pBdr>
                <w:top w:val="nil"/>
                <w:left w:val="nil"/>
                <w:bottom w:val="nil"/>
                <w:right w:val="nil"/>
                <w:between w:val="nil"/>
              </w:pBdr>
              <w:spacing w:after="0" w:line="276" w:lineRule="auto"/>
              <w:rPr>
                <w:rFonts w:ascii="Verdana" w:eastAsia="Verdana" w:hAnsi="Verdana" w:cs="Verdana"/>
                <w:color w:val="000000"/>
                <w:sz w:val="24"/>
                <w:szCs w:val="24"/>
              </w:rPr>
            </w:pPr>
          </w:p>
          <w:tbl>
            <w:tblPr>
              <w:tblStyle w:val="a3"/>
              <w:tblW w:w="8672" w:type="dxa"/>
              <w:tblInd w:w="60" w:type="dxa"/>
              <w:tblLayout w:type="fixed"/>
              <w:tblLook w:val="0400" w:firstRow="0" w:lastRow="0" w:firstColumn="0" w:lastColumn="0" w:noHBand="0" w:noVBand="1"/>
            </w:tblPr>
            <w:tblGrid>
              <w:gridCol w:w="315"/>
              <w:gridCol w:w="8357"/>
            </w:tblGrid>
            <w:tr w:rsidR="00827B7A">
              <w:tc>
                <w:tcPr>
                  <w:tcW w:w="315" w:type="dxa"/>
                </w:tcPr>
                <w:p w:rsidR="00827B7A" w:rsidRDefault="002505BE">
                  <w:pPr>
                    <w:spacing w:after="0" w:line="240" w:lineRule="auto"/>
                    <w:ind w:left="60"/>
                    <w:jc w:val="both"/>
                    <w:rPr>
                      <w:rFonts w:ascii="Verdana" w:eastAsia="Verdana" w:hAnsi="Verdana" w:cs="Verdana"/>
                      <w:color w:val="000000"/>
                      <w:sz w:val="24"/>
                      <w:szCs w:val="24"/>
                    </w:rPr>
                  </w:pPr>
                  <w:r>
                    <w:rPr>
                      <w:rFonts w:ascii="Verdana" w:eastAsia="Verdana" w:hAnsi="Verdana" w:cs="Verdana"/>
                      <w:noProof/>
                      <w:color w:val="000000"/>
                      <w:sz w:val="24"/>
                      <w:szCs w:val="24"/>
                    </w:rPr>
                    <w:drawing>
                      <wp:inline distT="0" distB="0" distL="0" distR="0">
                        <wp:extent cx="104775" cy="104775"/>
                        <wp:effectExtent l="0" t="0" r="0" b="0"/>
                        <wp:docPr id="15" name="image1.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1.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357" w:type="dxa"/>
                </w:tcPr>
                <w:p w:rsidR="00827B7A" w:rsidRDefault="002505BE">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Aplica el plan y programas de estudio para alcanzar los propósitos educativos y contribuir al pleno desenvolvimiento de las capacidades de sus alumnos.</w:t>
                  </w:r>
                </w:p>
              </w:tc>
            </w:tr>
          </w:tbl>
          <w:p w:rsidR="00827B7A" w:rsidRDefault="00827B7A">
            <w:pPr>
              <w:spacing w:after="0" w:line="240" w:lineRule="auto"/>
              <w:ind w:left="60"/>
              <w:jc w:val="both"/>
              <w:rPr>
                <w:rFonts w:ascii="Verdana" w:eastAsia="Verdana" w:hAnsi="Verdana" w:cs="Verdana"/>
                <w:color w:val="000000"/>
                <w:sz w:val="24"/>
                <w:szCs w:val="24"/>
              </w:rPr>
            </w:pPr>
          </w:p>
        </w:tc>
      </w:tr>
      <w:tr w:rsidR="00827B7A">
        <w:tc>
          <w:tcPr>
            <w:tcW w:w="8822" w:type="dxa"/>
            <w:tcBorders>
              <w:top w:val="single" w:sz="6" w:space="0" w:color="000000"/>
              <w:left w:val="single" w:sz="6" w:space="0" w:color="000000"/>
              <w:bottom w:val="single" w:sz="6" w:space="0" w:color="000000"/>
              <w:right w:val="single" w:sz="6" w:space="0" w:color="000000"/>
            </w:tcBorders>
            <w:vAlign w:val="center"/>
          </w:tcPr>
          <w:p w:rsidR="00827B7A" w:rsidRDefault="002505BE">
            <w:pPr>
              <w:spacing w:after="0" w:line="240" w:lineRule="auto"/>
              <w:ind w:left="60"/>
              <w:jc w:val="both"/>
              <w:rPr>
                <w:rFonts w:ascii="Verdana" w:eastAsia="Verdana" w:hAnsi="Verdana" w:cs="Verdana"/>
                <w:color w:val="000000"/>
                <w:sz w:val="24"/>
                <w:szCs w:val="24"/>
              </w:rPr>
            </w:pPr>
            <w:r>
              <w:rPr>
                <w:rFonts w:ascii="Verdana" w:eastAsia="Verdana" w:hAnsi="Verdana" w:cs="Verdana"/>
                <w:color w:val="000000"/>
                <w:sz w:val="24"/>
                <w:szCs w:val="24"/>
              </w:rPr>
              <w:t>UNIDAD DE APRENDIZAJE III. CONDICIONES NECESARIAS EN LAS SITUACIONES DIDÁCTICAS DE LECTURA.</w:t>
            </w:r>
          </w:p>
        </w:tc>
      </w:tr>
      <w:tr w:rsidR="00827B7A">
        <w:tc>
          <w:tcPr>
            <w:tcW w:w="8822" w:type="dxa"/>
            <w:tcBorders>
              <w:top w:val="single" w:sz="6" w:space="0" w:color="000000"/>
              <w:left w:val="single" w:sz="6" w:space="0" w:color="000000"/>
              <w:bottom w:val="single" w:sz="6" w:space="0" w:color="000000"/>
              <w:right w:val="single" w:sz="6" w:space="0" w:color="000000"/>
            </w:tcBorders>
            <w:vAlign w:val="center"/>
          </w:tcPr>
          <w:p w:rsidR="00827B7A" w:rsidRDefault="00827B7A">
            <w:pPr>
              <w:widowControl w:val="0"/>
              <w:pBdr>
                <w:top w:val="nil"/>
                <w:left w:val="nil"/>
                <w:bottom w:val="nil"/>
                <w:right w:val="nil"/>
                <w:between w:val="nil"/>
              </w:pBdr>
              <w:spacing w:after="0" w:line="276" w:lineRule="auto"/>
              <w:rPr>
                <w:rFonts w:ascii="Verdana" w:eastAsia="Verdana" w:hAnsi="Verdana" w:cs="Verdana"/>
                <w:color w:val="000000"/>
                <w:sz w:val="24"/>
                <w:szCs w:val="24"/>
              </w:rPr>
            </w:pPr>
          </w:p>
          <w:tbl>
            <w:tblPr>
              <w:tblStyle w:val="a4"/>
              <w:tblW w:w="8672" w:type="dxa"/>
              <w:tblInd w:w="60" w:type="dxa"/>
              <w:tblLayout w:type="fixed"/>
              <w:tblLook w:val="0400" w:firstRow="0" w:lastRow="0" w:firstColumn="0" w:lastColumn="0" w:noHBand="0" w:noVBand="1"/>
            </w:tblPr>
            <w:tblGrid>
              <w:gridCol w:w="315"/>
              <w:gridCol w:w="8357"/>
            </w:tblGrid>
            <w:tr w:rsidR="00827B7A">
              <w:tc>
                <w:tcPr>
                  <w:tcW w:w="315" w:type="dxa"/>
                </w:tcPr>
                <w:p w:rsidR="00827B7A" w:rsidRDefault="002505BE">
                  <w:pPr>
                    <w:spacing w:after="0" w:line="240" w:lineRule="auto"/>
                    <w:ind w:left="60"/>
                    <w:jc w:val="both"/>
                    <w:rPr>
                      <w:rFonts w:ascii="Verdana" w:eastAsia="Verdana" w:hAnsi="Verdana" w:cs="Verdana"/>
                      <w:color w:val="000000"/>
                      <w:sz w:val="24"/>
                      <w:szCs w:val="24"/>
                    </w:rPr>
                  </w:pPr>
                  <w:r>
                    <w:rPr>
                      <w:rFonts w:ascii="Verdana" w:eastAsia="Verdana" w:hAnsi="Verdana" w:cs="Verdana"/>
                      <w:noProof/>
                      <w:color w:val="000000"/>
                      <w:sz w:val="24"/>
                      <w:szCs w:val="24"/>
                    </w:rPr>
                    <w:drawing>
                      <wp:inline distT="0" distB="0" distL="0" distR="0">
                        <wp:extent cx="104775" cy="104775"/>
                        <wp:effectExtent l="0" t="0" r="0" b="0"/>
                        <wp:docPr id="11" name="image1.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1.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357" w:type="dxa"/>
                </w:tcPr>
                <w:p w:rsidR="00827B7A" w:rsidRDefault="002505BE">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w:t>
                  </w:r>
                  <w:r>
                    <w:rPr>
                      <w:rFonts w:ascii="Verdana" w:eastAsia="Verdana" w:hAnsi="Verdana" w:cs="Verdana"/>
                      <w:color w:val="000000"/>
                      <w:sz w:val="24"/>
                      <w:szCs w:val="24"/>
                    </w:rPr>
                    <w:t>s de estudio.</w:t>
                  </w:r>
                </w:p>
              </w:tc>
            </w:tr>
          </w:tbl>
          <w:p w:rsidR="00827B7A" w:rsidRDefault="00827B7A">
            <w:pPr>
              <w:widowControl w:val="0"/>
              <w:pBdr>
                <w:top w:val="nil"/>
                <w:left w:val="nil"/>
                <w:bottom w:val="nil"/>
                <w:right w:val="nil"/>
                <w:between w:val="nil"/>
              </w:pBdr>
              <w:spacing w:after="0" w:line="276" w:lineRule="auto"/>
              <w:rPr>
                <w:rFonts w:ascii="Verdana" w:eastAsia="Verdana" w:hAnsi="Verdana" w:cs="Verdana"/>
                <w:color w:val="000000"/>
                <w:sz w:val="24"/>
                <w:szCs w:val="24"/>
              </w:rPr>
            </w:pPr>
          </w:p>
          <w:tbl>
            <w:tblPr>
              <w:tblStyle w:val="a5"/>
              <w:tblW w:w="8672" w:type="dxa"/>
              <w:tblInd w:w="60" w:type="dxa"/>
              <w:tblLayout w:type="fixed"/>
              <w:tblLook w:val="0400" w:firstRow="0" w:lastRow="0" w:firstColumn="0" w:lastColumn="0" w:noHBand="0" w:noVBand="1"/>
            </w:tblPr>
            <w:tblGrid>
              <w:gridCol w:w="315"/>
              <w:gridCol w:w="8357"/>
            </w:tblGrid>
            <w:tr w:rsidR="00827B7A">
              <w:tc>
                <w:tcPr>
                  <w:tcW w:w="315" w:type="dxa"/>
                </w:tcPr>
                <w:p w:rsidR="00827B7A" w:rsidRDefault="002505BE">
                  <w:pPr>
                    <w:spacing w:after="0" w:line="240" w:lineRule="auto"/>
                    <w:ind w:left="60"/>
                    <w:jc w:val="both"/>
                    <w:rPr>
                      <w:rFonts w:ascii="Verdana" w:eastAsia="Verdana" w:hAnsi="Verdana" w:cs="Verdana"/>
                      <w:color w:val="000000"/>
                      <w:sz w:val="24"/>
                      <w:szCs w:val="24"/>
                    </w:rPr>
                  </w:pPr>
                  <w:r>
                    <w:rPr>
                      <w:rFonts w:ascii="Verdana" w:eastAsia="Verdana" w:hAnsi="Verdana" w:cs="Verdana"/>
                      <w:noProof/>
                      <w:color w:val="000000"/>
                      <w:sz w:val="24"/>
                      <w:szCs w:val="24"/>
                    </w:rPr>
                    <w:drawing>
                      <wp:inline distT="0" distB="0" distL="0" distR="0">
                        <wp:extent cx="104775" cy="104775"/>
                        <wp:effectExtent l="0" t="0" r="0" b="0"/>
                        <wp:docPr id="10" name="image1.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1.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357" w:type="dxa"/>
                </w:tcPr>
                <w:p w:rsidR="00827B7A" w:rsidRDefault="002505BE">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Aplica el plan y programas de estudio para alcanzar los propósitos educativos y contribuir al pleno desenvolvimiento de las capacidades de sus alumnos.</w:t>
                  </w:r>
                </w:p>
              </w:tc>
            </w:tr>
          </w:tbl>
          <w:p w:rsidR="00827B7A" w:rsidRDefault="00827B7A">
            <w:pPr>
              <w:spacing w:after="0" w:line="240" w:lineRule="auto"/>
              <w:ind w:left="60"/>
              <w:jc w:val="both"/>
              <w:rPr>
                <w:rFonts w:ascii="Verdana" w:eastAsia="Verdana" w:hAnsi="Verdana" w:cs="Verdana"/>
                <w:color w:val="000000"/>
                <w:sz w:val="24"/>
                <w:szCs w:val="24"/>
              </w:rPr>
            </w:pPr>
          </w:p>
        </w:tc>
      </w:tr>
    </w:tbl>
    <w:p w:rsidR="00827B7A" w:rsidRDefault="00827B7A">
      <w:pPr>
        <w:spacing w:line="360" w:lineRule="auto"/>
        <w:jc w:val="both"/>
        <w:rPr>
          <w:rFonts w:ascii="Arial" w:eastAsia="Arial" w:hAnsi="Arial" w:cs="Arial"/>
          <w:sz w:val="28"/>
          <w:szCs w:val="28"/>
        </w:rPr>
      </w:pPr>
    </w:p>
    <w:p w:rsidR="002505BE" w:rsidRDefault="002505BE">
      <w:pPr>
        <w:spacing w:line="360" w:lineRule="auto"/>
        <w:jc w:val="both"/>
        <w:rPr>
          <w:rFonts w:ascii="Arial" w:eastAsia="Arial" w:hAnsi="Arial" w:cs="Arial"/>
          <w:sz w:val="28"/>
          <w:szCs w:val="28"/>
        </w:rPr>
      </w:pPr>
      <w:bookmarkStart w:id="0" w:name="_GoBack"/>
      <w:bookmarkEnd w:id="0"/>
    </w:p>
    <w:p w:rsidR="00827B7A" w:rsidRDefault="00827B7A">
      <w:pPr>
        <w:spacing w:line="360" w:lineRule="auto"/>
        <w:jc w:val="both"/>
        <w:rPr>
          <w:rFonts w:ascii="Arial" w:eastAsia="Arial" w:hAnsi="Arial" w:cs="Arial"/>
          <w:sz w:val="28"/>
          <w:szCs w:val="28"/>
        </w:rPr>
      </w:pP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La comprensión lectora es un proceso simultáneo de extraer y construir significado a través de la interacción con el lenguaje escrito. Es un proceso, porque involucra un conjunto de actividades que, al practicarse repetida y progresivamente, iniciando con </w:t>
      </w:r>
      <w:r>
        <w:rPr>
          <w:rFonts w:ascii="Arial" w:eastAsia="Arial" w:hAnsi="Arial" w:cs="Arial"/>
          <w:sz w:val="24"/>
          <w:szCs w:val="24"/>
        </w:rPr>
        <w:t>lo fácil y avanzando a lo difícil, lograr que el lector demuestre su comprensión. Es simultáneo porque involucra un constante ir y venir de palabras y conocimientos. Es interactivo porque involucra al lector, el texto que lee y el contexto en el que se enc</w:t>
      </w:r>
      <w:r>
        <w:rPr>
          <w:rFonts w:ascii="Arial" w:eastAsia="Arial" w:hAnsi="Arial" w:cs="Arial"/>
          <w:sz w:val="24"/>
          <w:szCs w:val="24"/>
        </w:rPr>
        <w:t>uentra el lector y el texto. Un elemento fundamental de la comprensión es el lenguaje escrito. El éxito de la comprensión lectora depende, entre otros, de que el lector domine el idioma en el que está escrito el texto y pueda decodificarlo.</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 xml:space="preserve">La comprensión </w:t>
      </w:r>
      <w:r>
        <w:rPr>
          <w:rFonts w:ascii="Arial" w:eastAsia="Arial" w:hAnsi="Arial" w:cs="Arial"/>
          <w:sz w:val="24"/>
          <w:szCs w:val="24"/>
        </w:rPr>
        <w:t xml:space="preserve">lectora es el principal propósito de la lectura y “es el resultado de la aplicación de estrategias para entender, recordar y encontrar el significado de lo que se ha leído”. La comprensión lectora es necesaria en todas las áreas curriculares, no solo en </w:t>
      </w:r>
      <w:r>
        <w:rPr>
          <w:rFonts w:ascii="Arial" w:eastAsia="Arial" w:hAnsi="Arial" w:cs="Arial"/>
          <w:sz w:val="24"/>
          <w:szCs w:val="24"/>
        </w:rPr>
        <w:tab/>
        <w:t>C</w:t>
      </w:r>
      <w:r>
        <w:rPr>
          <w:rFonts w:ascii="Arial" w:eastAsia="Arial" w:hAnsi="Arial" w:cs="Arial"/>
          <w:sz w:val="24"/>
          <w:szCs w:val="24"/>
        </w:rPr>
        <w:t>omunicación y Lenguaje. Usamos la comprensión lectora para aprender Ciencias Naturales, Matemáticas, Historia, entre otras. A través de los textos aprendemos nuevos conceptos, establecemos relaciones entre elementos, leemos sobre los pasos de distintos pro</w:t>
      </w:r>
      <w:r>
        <w:rPr>
          <w:rFonts w:ascii="Arial" w:eastAsia="Arial" w:hAnsi="Arial" w:cs="Arial"/>
          <w:sz w:val="24"/>
          <w:szCs w:val="24"/>
        </w:rPr>
        <w:t>cesos, descubrimos las causas y consecuencias de importantes eventos históricos.</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Una función fundamental de la escuela es enseñar a decodificar y enseñar a leer para aprender. El aprendizaje de la comprensión debe ser permanente, puesto que después de apre</w:t>
      </w:r>
      <w:r>
        <w:rPr>
          <w:rFonts w:ascii="Arial" w:eastAsia="Arial" w:hAnsi="Arial" w:cs="Arial"/>
          <w:sz w:val="24"/>
          <w:szCs w:val="24"/>
        </w:rPr>
        <w:t xml:space="preserve">nder a decodificar debemos profundizar en el uso de la lectura para aprender. El desarrollo de la comprensión inicia desde que los niños aprenden a hablar.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 xml:space="preserve">La mente del lector procesa la información y, para ello, usa distintas habilidades cognitivas, que </w:t>
      </w:r>
      <w:r>
        <w:rPr>
          <w:rFonts w:ascii="Arial" w:eastAsia="Arial" w:hAnsi="Arial" w:cs="Arial"/>
          <w:sz w:val="24"/>
          <w:szCs w:val="24"/>
        </w:rPr>
        <w:t xml:space="preserve">son las que se usan para transformar, transportar, reducir, coordinar, recuperar o utilizar el contenido del texto.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Cuando leemos, usamos muchas operaciones mentales para transportar, reducir, coordinar, recuperar o utilizar el contenido del texto. A estas operaciones mentales también se les conoce como habilidades cognitivas, las cuales nos permiten procesar la informa</w:t>
      </w:r>
      <w:r>
        <w:rPr>
          <w:rFonts w:ascii="Arial" w:eastAsia="Arial" w:hAnsi="Arial" w:cs="Arial"/>
          <w:sz w:val="24"/>
          <w:szCs w:val="24"/>
        </w:rPr>
        <w:t xml:space="preserve">ción del texto, las habilidades metacognitivas que nos permiten </w:t>
      </w:r>
      <w:r>
        <w:rPr>
          <w:rFonts w:ascii="Arial" w:eastAsia="Arial" w:hAnsi="Arial" w:cs="Arial"/>
          <w:sz w:val="24"/>
          <w:szCs w:val="24"/>
        </w:rPr>
        <w:lastRenderedPageBreak/>
        <w:t xml:space="preserve">tener conciencia del proceso de comprensión y controlarlo a través de la planificación, supervisión y evaluación.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El proceso lector está formado por “los pasos que siguen las personas al leer</w:t>
      </w:r>
      <w:r>
        <w:rPr>
          <w:rFonts w:ascii="Arial" w:eastAsia="Arial" w:hAnsi="Arial" w:cs="Arial"/>
          <w:sz w:val="24"/>
          <w:szCs w:val="24"/>
        </w:rPr>
        <w:t xml:space="preserve"> y que les permite comprender”. A estos pasos se les ha llamado momentos y se identifican tres: antes, se lee con un propósito, después, durante la experiencia lectora confluyen las habilidades y saberes de estudiante, con las buenas prácticas del docente,</w:t>
      </w:r>
      <w:r>
        <w:rPr>
          <w:rFonts w:ascii="Arial" w:eastAsia="Arial" w:hAnsi="Arial" w:cs="Arial"/>
          <w:sz w:val="24"/>
          <w:szCs w:val="24"/>
        </w:rPr>
        <w:t xml:space="preserve"> después, el docente modela a los estudiantes cómo usar sus habilidades y estrategias cognitivas y metacognitivas.</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 xml:space="preserve">La lectura es más que decodificar, pues intervienen distintos proceso de comprensión como, la comprensión literal que permite la comprensión </w:t>
      </w:r>
      <w:r>
        <w:rPr>
          <w:rFonts w:ascii="Arial" w:eastAsia="Arial" w:hAnsi="Arial" w:cs="Arial"/>
          <w:sz w:val="24"/>
          <w:szCs w:val="24"/>
        </w:rPr>
        <w:t>global y obtención de la información correcta la comprensión inferencial que permite la interpretación de un texto, la comprensión crítica que permite la reflexión sobre el contenido del texto y la apreciación lectora que permite reflexionar sobre la forma</w:t>
      </w:r>
      <w:r>
        <w:rPr>
          <w:rFonts w:ascii="Arial" w:eastAsia="Arial" w:hAnsi="Arial" w:cs="Arial"/>
          <w:sz w:val="24"/>
          <w:szCs w:val="24"/>
        </w:rPr>
        <w:t xml:space="preserve"> del texto.</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 xml:space="preserve">Para que un estudiante pueda leer y comprender lo que lee, son necesarios, entre otros, los aspectos clave, el desarrollo del lenguaje oral es fundamental para el aprendizaje de la comprensión lectora, el vocabulario facilita la comprensión de </w:t>
      </w:r>
      <w:r>
        <w:rPr>
          <w:rFonts w:ascii="Arial" w:eastAsia="Arial" w:hAnsi="Arial" w:cs="Arial"/>
          <w:sz w:val="24"/>
          <w:szCs w:val="24"/>
        </w:rPr>
        <w:t>los textos, cuando se aprende a leer, se identifican los sonidos del idioma, uno de los propósitos de la enseñanza de la lectura es leer con fluidez.</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El lector es el elemento central y un sujeto en el proceso de comprensión. El propósito de la enseñanza de</w:t>
      </w:r>
      <w:r>
        <w:rPr>
          <w:rFonts w:ascii="Arial" w:eastAsia="Arial" w:hAnsi="Arial" w:cs="Arial"/>
          <w:sz w:val="24"/>
          <w:szCs w:val="24"/>
        </w:rPr>
        <w:t xml:space="preserve"> la comprensión lectora es acompañar al estudiante para que llegue a ser un buen lector y sea autónomo en su comprensión lectora.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La motivación del lector y sus intereses hacen que selecciones ciertos textos y los lea para divertirse o entretenerse, infor</w:t>
      </w:r>
      <w:r>
        <w:rPr>
          <w:rFonts w:ascii="Arial" w:eastAsia="Arial" w:hAnsi="Arial" w:cs="Arial"/>
          <w:sz w:val="24"/>
          <w:szCs w:val="24"/>
        </w:rPr>
        <w:t>marse y aprender. Cuando los intereses de los estudiantes coinciden con las lecturas asignadas en clase, la comprensión se facilita.</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El contexto cultural y sociocultural en el que se encuentran los niños es determinante. El involucramiento de la familia en</w:t>
      </w:r>
      <w:r>
        <w:rPr>
          <w:rFonts w:ascii="Arial" w:eastAsia="Arial" w:hAnsi="Arial" w:cs="Arial"/>
          <w:sz w:val="24"/>
          <w:szCs w:val="24"/>
        </w:rPr>
        <w:t xml:space="preserve"> las actividades educativas del niño </w:t>
      </w:r>
      <w:r>
        <w:rPr>
          <w:rFonts w:ascii="Arial" w:eastAsia="Arial" w:hAnsi="Arial" w:cs="Arial"/>
          <w:sz w:val="24"/>
          <w:szCs w:val="24"/>
        </w:rPr>
        <w:lastRenderedPageBreak/>
        <w:t>y el nivel socioeconómico del niño y su familia tienen una compleja influencia en el rendimiento y en la comprensión lectora.</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El texto es un elemento esencial en la comprensión para seleccionar los textos, el docente debe considerar el tipo y el nivel de legibilidad de los mismos. Estos aspectos son: la legibilidad del texto y si dificultad para el lector, los tipos de texto, est</w:t>
      </w:r>
      <w:r>
        <w:rPr>
          <w:rFonts w:ascii="Arial" w:eastAsia="Arial" w:hAnsi="Arial" w:cs="Arial"/>
          <w:sz w:val="24"/>
          <w:szCs w:val="24"/>
        </w:rPr>
        <w:t>ructura de los textos.</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Textos narrativos, estos textos están organizados en una secuencia que tiene principio, nudo y desenlace. En esta secuencia general, la historia puede estar compuesta por uno o varios episodios, algunos tipos de textos narrativos: cu</w:t>
      </w:r>
      <w:r>
        <w:rPr>
          <w:rFonts w:ascii="Arial" w:eastAsia="Arial" w:hAnsi="Arial" w:cs="Arial"/>
          <w:sz w:val="24"/>
          <w:szCs w:val="24"/>
        </w:rPr>
        <w:t>ento (cuento fantástico, cuento de hadas o tradicional, cuentos de ciencia ficción, cuento policial, cuento disparatado o absurdo y cuento popular), fábula, leyenda, novela.</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Textos informativos, a diferencia de los textos narrativos, los informativos no ti</w:t>
      </w:r>
      <w:r>
        <w:rPr>
          <w:rFonts w:ascii="Arial" w:eastAsia="Arial" w:hAnsi="Arial" w:cs="Arial"/>
          <w:sz w:val="24"/>
          <w:szCs w:val="24"/>
        </w:rPr>
        <w:t xml:space="preserve">ene un patrón fijo, el modo de organizar la información depende del tipo y objetivo que busca el autor. El propósito principal de todos los textos informativos es presentar claramente información o contenidos al lector.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Cada niño, al nacer, es diferente d</w:t>
      </w:r>
      <w:r>
        <w:rPr>
          <w:rFonts w:ascii="Arial" w:eastAsia="Arial" w:hAnsi="Arial" w:cs="Arial"/>
          <w:sz w:val="24"/>
          <w:szCs w:val="24"/>
        </w:rPr>
        <w:t>e los demás. Las diferencias en sus primeras etapas de desarrollo no pueden atribuirse a su pertenencia a cierta clase social. Sin embargo, puede haber una gran desigualdad entre los bebés, principalmente en la práctica cultural de leerles libros.</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Estudios</w:t>
      </w:r>
      <w:r>
        <w:rPr>
          <w:rFonts w:ascii="Arial" w:eastAsia="Arial" w:hAnsi="Arial" w:cs="Arial"/>
          <w:sz w:val="24"/>
          <w:szCs w:val="24"/>
        </w:rPr>
        <w:t xml:space="preserve"> realizados mostraron que todos los niños que habían aprendido temporalmente, habían estado sin excepción, en contacto con lo escrito y los libros, ya sea en el seno de su familia o una biblioteca.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El desarrollo del niño y su relación con los libros, en l</w:t>
      </w:r>
      <w:r>
        <w:rPr>
          <w:rFonts w:ascii="Arial" w:eastAsia="Arial" w:hAnsi="Arial" w:cs="Arial"/>
          <w:sz w:val="24"/>
          <w:szCs w:val="24"/>
        </w:rPr>
        <w:t xml:space="preserve">as primeras etapas de vida existe una oposición entre los hechos de la realidad, con sus ritmos cotidianos, y lo que concierne a la imaginación y los deseos.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La idea de que saber leer ( y escribir) representa la llave de acceso a la cultura y al conocimie</w:t>
      </w:r>
      <w:r>
        <w:rPr>
          <w:rFonts w:ascii="Arial" w:eastAsia="Arial" w:hAnsi="Arial" w:cs="Arial"/>
          <w:sz w:val="24"/>
          <w:szCs w:val="24"/>
        </w:rPr>
        <w:t xml:space="preserve">nto está profundamente enraizada en nuestra sociedad. Es una idea que enlaza a la escolarización obligatoria, vista como un elemento igualador entre todos </w:t>
      </w:r>
      <w:r>
        <w:rPr>
          <w:rFonts w:ascii="Arial" w:eastAsia="Arial" w:hAnsi="Arial" w:cs="Arial"/>
          <w:sz w:val="24"/>
          <w:szCs w:val="24"/>
        </w:rPr>
        <w:lastRenderedPageBreak/>
        <w:t xml:space="preserve">los hombres y mujeres, y a la necesidad de una educación adecuada al desarrollo industrial.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 xml:space="preserve">Leer en </w:t>
      </w:r>
      <w:r>
        <w:rPr>
          <w:rFonts w:ascii="Arial" w:eastAsia="Arial" w:hAnsi="Arial" w:cs="Arial"/>
          <w:sz w:val="24"/>
          <w:szCs w:val="24"/>
        </w:rPr>
        <w:t xml:space="preserve">nuestra sociedad, sabemos que el acceso a la lengua escrita tiene consecuencias para el desarrollo intelectual de los individuos. La lengua escrita supone, pues, una ampliación considerable de las posibilidades de comunicación y desarrollo personal que se </w:t>
      </w:r>
      <w:r>
        <w:rPr>
          <w:rFonts w:ascii="Arial" w:eastAsia="Arial" w:hAnsi="Arial" w:cs="Arial"/>
          <w:sz w:val="24"/>
          <w:szCs w:val="24"/>
        </w:rPr>
        <w:t xml:space="preserve">inicia con la adquisición del lenguaje en la vida de cualquier persona.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 xml:space="preserve">Los cambios en la planificación de la lectura, la primera consecuencia del cambio de perspectiva en la forma de contemplar la lectura es la del cambio en su planificación escolar.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Ap</w:t>
      </w:r>
      <w:r>
        <w:rPr>
          <w:rFonts w:ascii="Arial" w:eastAsia="Arial" w:hAnsi="Arial" w:cs="Arial"/>
          <w:sz w:val="24"/>
          <w:szCs w:val="24"/>
        </w:rPr>
        <w:t>render a lo largo del tiempo, es evidente, en primer lugar, que ya no podemos entender la lectura como un aprendizaje restringido a los primeros niveles de escolaridad y centrado, simplemente, en las habilidades de descodificación.</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Aprender a lo ancho de l</w:t>
      </w:r>
      <w:r>
        <w:rPr>
          <w:rFonts w:ascii="Arial" w:eastAsia="Arial" w:hAnsi="Arial" w:cs="Arial"/>
          <w:sz w:val="24"/>
          <w:szCs w:val="24"/>
        </w:rPr>
        <w:t>as materias, la enseñanza de la lectura ha pasado a ser contemplada como una tarea propia de los profesores de todos las áreas de conocimiento.</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Usar, analizar y ejercitar, la enseñanza de la lectura ha iniciado un movimiento de integración y articulación e</w:t>
      </w:r>
      <w:r>
        <w:rPr>
          <w:rFonts w:ascii="Arial" w:eastAsia="Arial" w:hAnsi="Arial" w:cs="Arial"/>
          <w:sz w:val="24"/>
          <w:szCs w:val="24"/>
        </w:rPr>
        <w:t>ntre los aprendizajes sobre la forma de escrito y sobre su función, entre las habilidades que se ponen en juego y el sentido que la lectura tiene para los lectores.</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La enseñanza de la comprensión lectora, enseñar a entender un texto ha ido convirtiéndose e</w:t>
      </w:r>
      <w:r>
        <w:rPr>
          <w:rFonts w:ascii="Arial" w:eastAsia="Arial" w:hAnsi="Arial" w:cs="Arial"/>
          <w:sz w:val="24"/>
          <w:szCs w:val="24"/>
        </w:rPr>
        <w:t xml:space="preserve">n el objetivo real de las prácticas escolares y ha permitido experimentar y articular nuevas prácticas para conseguirlo. Partimos de la idea de que leer es un acto interpretativo que consiste en saber guiar una serie de razonamientos hacia la construcción </w:t>
      </w:r>
      <w:r>
        <w:rPr>
          <w:rFonts w:ascii="Arial" w:eastAsia="Arial" w:hAnsi="Arial" w:cs="Arial"/>
          <w:sz w:val="24"/>
          <w:szCs w:val="24"/>
        </w:rPr>
        <w:t>de una interpretación del mensaje escrito a partir tanto de la información que proporciona el texto como de los conocimientos del lector.</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Los paratextos se definen como un elemento que ayuda al lector a introducirse en la lectura facilitando las primeras e</w:t>
      </w:r>
      <w:r>
        <w:rPr>
          <w:rFonts w:ascii="Arial" w:eastAsia="Arial" w:hAnsi="Arial" w:cs="Arial"/>
          <w:sz w:val="24"/>
          <w:szCs w:val="24"/>
        </w:rPr>
        <w:t xml:space="preserve">videncias sobre el contenido del libro. Paratextos </w:t>
      </w:r>
      <w:r>
        <w:rPr>
          <w:rFonts w:ascii="Arial" w:eastAsia="Arial" w:hAnsi="Arial" w:cs="Arial"/>
          <w:sz w:val="24"/>
          <w:szCs w:val="24"/>
        </w:rPr>
        <w:lastRenderedPageBreak/>
        <w:t>fuera del libro, las prácticas y textos que se sitúan fuera del libro tienen la finalidad de dar a conocer el libro al público. Paratextos en el exterior del libro, los pretextos más visibles son comunes e</w:t>
      </w:r>
      <w:r>
        <w:rPr>
          <w:rFonts w:ascii="Arial" w:eastAsia="Arial" w:hAnsi="Arial" w:cs="Arial"/>
          <w:sz w:val="24"/>
          <w:szCs w:val="24"/>
        </w:rPr>
        <w:t xml:space="preserve">n el conjunto de libros que se publican en una colección.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Aunque el estudio de los pretextos es muy reciente, debemos ser conscientes de su importancia en la literatura infantil, ya que el lector con competencia en plena fase formativa puede realizar hipó</w:t>
      </w:r>
      <w:r>
        <w:rPr>
          <w:rFonts w:ascii="Arial" w:eastAsia="Arial" w:hAnsi="Arial" w:cs="Arial"/>
          <w:sz w:val="24"/>
          <w:szCs w:val="24"/>
        </w:rPr>
        <w:t>tesis interpretativas sobre el texto literario a partir de la información que le facilitan.</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La comprensión lectora es un elemento fundamental en el proceso lector, pero el propósito de mayor alcance se enfoca en el desarrollo y práctica de la competencia l</w:t>
      </w:r>
      <w:r>
        <w:rPr>
          <w:rFonts w:ascii="Arial" w:eastAsia="Arial" w:hAnsi="Arial" w:cs="Arial"/>
          <w:sz w:val="24"/>
          <w:szCs w:val="24"/>
        </w:rPr>
        <w:t xml:space="preserve">ectora. La competencia lectora es una condición necesaria en las situaciones didácticas de la lectura. Una de las principales metas en la educación primaria es lograr que los niños y niñas alcancen la competencia lectora, es decir que lean bien.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La compet</w:t>
      </w:r>
      <w:r>
        <w:rPr>
          <w:rFonts w:ascii="Arial" w:eastAsia="Arial" w:hAnsi="Arial" w:cs="Arial"/>
          <w:sz w:val="24"/>
          <w:szCs w:val="24"/>
        </w:rPr>
        <w:t>encia lectora es la capacidad de un individuo para comprender, emplear información y reflexionar a partir de textos escritos, con el fin de lograr sus metas individuales, desarrollar sus conocimientos y potencial personal y participar en la sociedad. No so</w:t>
      </w:r>
      <w:r>
        <w:rPr>
          <w:rFonts w:ascii="Arial" w:eastAsia="Arial" w:hAnsi="Arial" w:cs="Arial"/>
          <w:sz w:val="24"/>
          <w:szCs w:val="24"/>
        </w:rPr>
        <w:t>lo lograr que los estudiantes  lean de forma clara y rápida, sino que comprendan lo que leen, que reflexionen acerca del significado de lo leído y puedan valorarlo.</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La decodificación, es eficiente se refiere a la acción de reconocer letras o códigos y asoc</w:t>
      </w:r>
      <w:r>
        <w:rPr>
          <w:rFonts w:ascii="Arial" w:eastAsia="Arial" w:hAnsi="Arial" w:cs="Arial"/>
          <w:sz w:val="24"/>
          <w:szCs w:val="24"/>
        </w:rPr>
        <w:t>iarlas para formar palabras, es decir, la decodificación. La decodificación está ligada a tres elementos; la precisión, exactitud al leer e identificación correcta de las letras y palabras del texto; la velocidad, cantidad de palabras que se leen silencios</w:t>
      </w:r>
      <w:r>
        <w:rPr>
          <w:rFonts w:ascii="Arial" w:eastAsia="Arial" w:hAnsi="Arial" w:cs="Arial"/>
          <w:sz w:val="24"/>
          <w:szCs w:val="24"/>
        </w:rPr>
        <w:t>amente en un determinado tiempo; y a la fluidez leer con velocidad, precisión y expresión adecuada sin atención consciente, realizar múltiples tareas de lectura.</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La comprensión, el proceso de interacción entre el lector y el texto. El lector construye el s</w:t>
      </w:r>
      <w:r>
        <w:rPr>
          <w:rFonts w:ascii="Arial" w:eastAsia="Arial" w:hAnsi="Arial" w:cs="Arial"/>
          <w:sz w:val="24"/>
          <w:szCs w:val="24"/>
        </w:rPr>
        <w:t xml:space="preserve">ignificado, es decir, comprende al relacionar la información que el autor presenta con la información y experiencias que él tiene.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lastRenderedPageBreak/>
        <w:t>Aborda la competencia lectora en preescolar, la lectura se aborda en el área de Comunicación y Lenguaje. Su tratamiento es t</w:t>
      </w:r>
      <w:r>
        <w:rPr>
          <w:rFonts w:ascii="Arial" w:eastAsia="Arial" w:hAnsi="Arial" w:cs="Arial"/>
          <w:sz w:val="24"/>
          <w:szCs w:val="24"/>
        </w:rPr>
        <w:t>ransversal desde preprimaria hasta profesional. Los estándares son los aprendizajes básicos que todo estudiante de un grado debe alcanzar al finalizar el ciclo escolar, los estándares de lectura son relaciona imágenes, dibuja y signos contenidos en los tex</w:t>
      </w:r>
      <w:r>
        <w:rPr>
          <w:rFonts w:ascii="Arial" w:eastAsia="Arial" w:hAnsi="Arial" w:cs="Arial"/>
          <w:sz w:val="24"/>
          <w:szCs w:val="24"/>
        </w:rPr>
        <w:t>tos de lectura infantil haciendo predicciones, identificando el tema, el personaje principal y comprendiendo el concepto de textos impresos.</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Crear un ambiente lector, el deseo y el gusto por la lectura es determinante para formar buenos lectores. El docent</w:t>
      </w:r>
      <w:r>
        <w:rPr>
          <w:rFonts w:ascii="Arial" w:eastAsia="Arial" w:hAnsi="Arial" w:cs="Arial"/>
          <w:sz w:val="24"/>
          <w:szCs w:val="24"/>
        </w:rPr>
        <w:t>e puede hacer hacer el del aula un entorno pedagógico favorable para el aprendizaje de lectura, una de las actividades que se pueden realizar es el aula letrada, el aula ambientada con materiales escritos que facilitan en los estudiantes la inmersión en el</w:t>
      </w:r>
      <w:r>
        <w:rPr>
          <w:rFonts w:ascii="Arial" w:eastAsia="Arial" w:hAnsi="Arial" w:cs="Arial"/>
          <w:sz w:val="24"/>
          <w:szCs w:val="24"/>
        </w:rPr>
        <w:t xml:space="preserve"> mundo letrado, estimulando así el aprendizaje de la lectura.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Periodico mural o de circulación, es una actividad que permite a los estudiantes transmitir y recibir información a través de la lectura y la escritura, convirtiendo a la vez en un medio de exp</w:t>
      </w:r>
      <w:r>
        <w:rPr>
          <w:rFonts w:ascii="Arial" w:eastAsia="Arial" w:hAnsi="Arial" w:cs="Arial"/>
          <w:sz w:val="24"/>
          <w:szCs w:val="24"/>
        </w:rPr>
        <w:t>resión y desarrollo de la creatividad.</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Personajes invitados, invitar a una persona de la comunidad tales como líderes, abuelos y otros, para que lleguen a la escuela a leer y contar historias a los estudiantes. Tiempo de lectura, desarrollar de manera peri</w:t>
      </w:r>
      <w:r>
        <w:rPr>
          <w:rFonts w:ascii="Arial" w:eastAsia="Arial" w:hAnsi="Arial" w:cs="Arial"/>
          <w:sz w:val="24"/>
          <w:szCs w:val="24"/>
        </w:rPr>
        <w:t>ódica, tiempos para la lectura y la lectura de imágenes, capturan la atención de los estudiantes y les permiten descubrir mensajes.</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Las estrategias lectoras, son los procesos mentales (acciones o formas de actuar) que realiza el lector para comprender. Son</w:t>
      </w:r>
      <w:r>
        <w:rPr>
          <w:rFonts w:ascii="Arial" w:eastAsia="Arial" w:hAnsi="Arial" w:cs="Arial"/>
          <w:sz w:val="24"/>
          <w:szCs w:val="24"/>
        </w:rPr>
        <w:t xml:space="preserve"> herramientas que le permiten construir el significado de lo que lee, formas de trabajar con el texto que hacen que pueda interactuar con él.</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Leer requiere muchas y variadas estrategias que se adquieren progresivamente y con la práctica. Predecir; la capac</w:t>
      </w:r>
      <w:r>
        <w:rPr>
          <w:rFonts w:ascii="Arial" w:eastAsia="Arial" w:hAnsi="Arial" w:cs="Arial"/>
          <w:sz w:val="24"/>
          <w:szCs w:val="24"/>
        </w:rPr>
        <w:t xml:space="preserve">idad de decir lo que va a pasar de manera anticipada. Esto permite que los estudiantes conecten sus conocimientos previos con lo que están leyendo. </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lastRenderedPageBreak/>
        <w:t>Comparar, capacidad de establecer diferencias y semejanzas, permite fijar la atención en dos o más cosas, y</w:t>
      </w:r>
      <w:r>
        <w:rPr>
          <w:rFonts w:ascii="Arial" w:eastAsia="Arial" w:hAnsi="Arial" w:cs="Arial"/>
          <w:sz w:val="24"/>
          <w:szCs w:val="24"/>
        </w:rPr>
        <w:t xml:space="preserve"> encontrar en qué se parecen y en qué se diferencian. Secuencia, establece el orden en que suceden los eventos, permite establecer el orden temporal que deben llevar y no su importancia o jerarquía.</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 xml:space="preserve">Identificar causa y efecto, capacidad de identificar por </w:t>
      </w:r>
      <w:r>
        <w:rPr>
          <w:rFonts w:ascii="Arial" w:eastAsia="Arial" w:hAnsi="Arial" w:cs="Arial"/>
          <w:sz w:val="24"/>
          <w:szCs w:val="24"/>
        </w:rPr>
        <w:t>que ocurre algo y su consecuencia o efecto. Permite identificar qué y por qué ocurrió, así estará ubicando elementos clave para poder analizarla y comprenderla mejor.</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 xml:space="preserve">Identificar el tema, comprender en qué consiste esta estrategia definamos primero qué es </w:t>
      </w:r>
      <w:r>
        <w:rPr>
          <w:rFonts w:ascii="Arial" w:eastAsia="Arial" w:hAnsi="Arial" w:cs="Arial"/>
          <w:sz w:val="24"/>
          <w:szCs w:val="24"/>
        </w:rPr>
        <w:t>el tema: es el asunto del que tratan todas o la mayoría de partes de un texto, permite descubrir lo que tienen en común todas o la mayoría de las oraciones.</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Entender palabras nuevas, está relacionada con el vocabulario y determina fuertemente las posibilidades de comprensión de los estudiantes, permite a los estudiantes a encontrar el significado de las palabras nuevas y al utilizarlo en oraciones, textos, res</w:t>
      </w:r>
      <w:r>
        <w:rPr>
          <w:rFonts w:ascii="Arial" w:eastAsia="Arial" w:hAnsi="Arial" w:cs="Arial"/>
          <w:sz w:val="24"/>
          <w:szCs w:val="24"/>
        </w:rPr>
        <w:t>úmenes, argumentaciones,etc.</w:t>
      </w:r>
    </w:p>
    <w:p w:rsidR="00827B7A" w:rsidRDefault="002505BE">
      <w:pPr>
        <w:spacing w:line="360" w:lineRule="auto"/>
        <w:jc w:val="both"/>
        <w:rPr>
          <w:rFonts w:ascii="Arial" w:eastAsia="Arial" w:hAnsi="Arial" w:cs="Arial"/>
          <w:sz w:val="24"/>
          <w:szCs w:val="24"/>
        </w:rPr>
      </w:pPr>
      <w:r>
        <w:rPr>
          <w:rFonts w:ascii="Arial" w:eastAsia="Arial" w:hAnsi="Arial" w:cs="Arial"/>
          <w:sz w:val="24"/>
          <w:szCs w:val="24"/>
        </w:rPr>
        <w:t>Expresión de opinión, saber comunicar lo que se piensa y siente en relación al contenido del texto y hacer valoraciones respecto al contenido del texto y hacer valoraciones respecto de lo leído, pero con argumentos, permite a l</w:t>
      </w:r>
      <w:r>
        <w:rPr>
          <w:rFonts w:ascii="Arial" w:eastAsia="Arial" w:hAnsi="Arial" w:cs="Arial"/>
          <w:sz w:val="24"/>
          <w:szCs w:val="24"/>
        </w:rPr>
        <w:t>as personas ser lectores activos que se cuestionan acerca de lo que leen y expresan sus acuerdos y desacuerdos.</w:t>
      </w:r>
    </w:p>
    <w:p w:rsidR="00827B7A" w:rsidRDefault="002505BE">
      <w:pPr>
        <w:spacing w:line="360" w:lineRule="auto"/>
        <w:jc w:val="both"/>
        <w:rPr>
          <w:rFonts w:ascii="Arial" w:eastAsia="Arial" w:hAnsi="Arial" w:cs="Arial"/>
          <w:sz w:val="6"/>
          <w:szCs w:val="6"/>
        </w:rPr>
      </w:pPr>
      <w:r>
        <w:rPr>
          <w:rFonts w:ascii="Arial" w:eastAsia="Arial" w:hAnsi="Arial" w:cs="Arial"/>
          <w:sz w:val="24"/>
          <w:szCs w:val="24"/>
        </w:rPr>
        <w:t>No se puede decir que hay una etapa más importante que otra, pues las tres en su conjunto son las que facilitan la comprensión. Cada una tiene p</w:t>
      </w:r>
      <w:r>
        <w:rPr>
          <w:rFonts w:ascii="Arial" w:eastAsia="Arial" w:hAnsi="Arial" w:cs="Arial"/>
          <w:sz w:val="24"/>
          <w:szCs w:val="24"/>
        </w:rPr>
        <w:t>ropósitos diferentes y por lo tanto aporta algo distinto al esfuerzo de los lectores por construir el significado del texto. El proceso lector se grafica por: antes de leer, durante la lectura y después de la lectura.</w:t>
      </w:r>
    </w:p>
    <w:p w:rsidR="00827B7A" w:rsidRDefault="00827B7A">
      <w:bookmarkStart w:id="1" w:name="_heading=h.gjdgxs" w:colFirst="0" w:colLast="0"/>
      <w:bookmarkEnd w:id="1"/>
    </w:p>
    <w:sectPr w:rsidR="00827B7A">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7A"/>
    <w:rsid w:val="002505BE"/>
    <w:rsid w:val="00827B7A"/>
    <w:rsid w:val="00F81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DD5E9-28F7-4211-B0C1-010AFDA7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01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F31FE4"/>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3Car">
    <w:name w:val="Título 3 Car"/>
    <w:basedOn w:val="Fuentedeprrafopredeter"/>
    <w:link w:val="Ttulo3"/>
    <w:uiPriority w:val="9"/>
    <w:semiHidden/>
    <w:rsid w:val="00F31FE4"/>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F31FE4"/>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0" w:type="dxa"/>
        <w:left w:w="30" w:type="dxa"/>
        <w:bottom w:w="30" w:type="dxa"/>
        <w:right w:w="3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201.117.133.137/sistema/mensajes/EnviaMensaje1.asp?e=enep-00042&amp;c=600765339&amp;p=4AM0419BM551M1654A1054A3&amp;idMateria=6167&amp;idMateria=6167&amp;a=M176&amp;an=HUMBERTO%20VALDEZ%20SANCHEZ"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Zia61d8uLjKsrMtquWbSxZELA==">AMUW2mUxJQUbzxBDBZdAXpNcukqWwHHvoPtiAuY2I+JwQjiOxFkcsGm6AIKwItJLUWWFF2mo4KaE8V9FGtUn184710iACfFRSqKk8aDCxW1cLY0Dq4047En6QU/F/d75BmZSb3ST0RT/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2495</Words>
  <Characters>13728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DAVILA</dc:creator>
  <cp:lastModifiedBy>PAOLA DAVILA</cp:lastModifiedBy>
  <cp:revision>3</cp:revision>
  <dcterms:created xsi:type="dcterms:W3CDTF">2021-06-30T02:48:00Z</dcterms:created>
  <dcterms:modified xsi:type="dcterms:W3CDTF">2021-06-30T02:49:00Z</dcterms:modified>
</cp:coreProperties>
</file>