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1403"/>
        <w:tblW w:w="14879" w:type="dxa"/>
        <w:tblLook w:val="04A0" w:firstRow="1" w:lastRow="0" w:firstColumn="1" w:lastColumn="0" w:noHBand="0" w:noVBand="1"/>
      </w:tblPr>
      <w:tblGrid>
        <w:gridCol w:w="1702"/>
        <w:gridCol w:w="2688"/>
        <w:gridCol w:w="2976"/>
        <w:gridCol w:w="2694"/>
        <w:gridCol w:w="2556"/>
        <w:gridCol w:w="2263"/>
      </w:tblGrid>
      <w:tr w:rsidR="007D4628" w:rsidTr="008E7680">
        <w:trPr>
          <w:trHeight w:val="1129"/>
        </w:trPr>
        <w:tc>
          <w:tcPr>
            <w:tcW w:w="14879" w:type="dxa"/>
            <w:gridSpan w:val="6"/>
            <w:shd w:val="clear" w:color="auto" w:fill="F97B7B"/>
          </w:tcPr>
          <w:p w:rsidR="007D4628" w:rsidRPr="00E146BC" w:rsidRDefault="00E146BC" w:rsidP="005F4C42">
            <w:pPr>
              <w:jc w:val="center"/>
              <w:rPr>
                <w:rFonts w:ascii="Berlin Sans FB" w:hAnsi="Berlin Sans FB"/>
                <w:sz w:val="52"/>
                <w:szCs w:val="52"/>
              </w:rPr>
            </w:pPr>
            <w:r w:rsidRPr="00E146BC">
              <w:rPr>
                <w:rFonts w:ascii="Berlin Sans FB" w:hAnsi="Berlin Sans FB"/>
                <w:sz w:val="52"/>
                <w:szCs w:val="52"/>
              </w:rPr>
              <w:t>Enfoques didácticos para la enseñanza de la expresión escrita</w:t>
            </w:r>
          </w:p>
        </w:tc>
      </w:tr>
      <w:tr w:rsidR="005E30B3" w:rsidTr="008E7680">
        <w:trPr>
          <w:trHeight w:val="702"/>
        </w:trPr>
        <w:tc>
          <w:tcPr>
            <w:tcW w:w="1702" w:type="dxa"/>
            <w:shd w:val="clear" w:color="auto" w:fill="F97B7B"/>
          </w:tcPr>
          <w:p w:rsidR="007D4628" w:rsidRPr="00394379" w:rsidRDefault="00394379" w:rsidP="005F4C42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394379">
              <w:rPr>
                <w:rFonts w:ascii="Berlin Sans FB" w:hAnsi="Berlin Sans FB"/>
                <w:sz w:val="28"/>
                <w:szCs w:val="28"/>
              </w:rPr>
              <w:t>E</w:t>
            </w:r>
            <w:r w:rsidR="007D4628" w:rsidRPr="00394379">
              <w:rPr>
                <w:rFonts w:ascii="Berlin Sans FB" w:hAnsi="Berlin Sans FB"/>
                <w:sz w:val="28"/>
                <w:szCs w:val="28"/>
              </w:rPr>
              <w:t>nfoque</w:t>
            </w:r>
          </w:p>
        </w:tc>
        <w:tc>
          <w:tcPr>
            <w:tcW w:w="2688" w:type="dxa"/>
            <w:shd w:val="clear" w:color="auto" w:fill="E8A2A2"/>
          </w:tcPr>
          <w:p w:rsidR="007D4628" w:rsidRPr="00394379" w:rsidRDefault="007D4628" w:rsidP="005F4C42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394379">
              <w:rPr>
                <w:rFonts w:ascii="Berlin Sans FB" w:hAnsi="Berlin Sans FB"/>
                <w:sz w:val="28"/>
                <w:szCs w:val="28"/>
              </w:rPr>
              <w:t>Origen e influencia</w:t>
            </w:r>
          </w:p>
        </w:tc>
        <w:tc>
          <w:tcPr>
            <w:tcW w:w="2976" w:type="dxa"/>
            <w:shd w:val="clear" w:color="auto" w:fill="F88A74"/>
          </w:tcPr>
          <w:p w:rsidR="007D4628" w:rsidRPr="00394379" w:rsidRDefault="00F13702" w:rsidP="005F4C42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394379">
              <w:rPr>
                <w:rFonts w:ascii="Berlin Sans FB" w:hAnsi="Berlin Sans FB"/>
                <w:sz w:val="28"/>
                <w:szCs w:val="28"/>
              </w:rPr>
              <w:t>Características generales</w:t>
            </w:r>
          </w:p>
        </w:tc>
        <w:tc>
          <w:tcPr>
            <w:tcW w:w="2694" w:type="dxa"/>
            <w:shd w:val="clear" w:color="auto" w:fill="F0A584"/>
          </w:tcPr>
          <w:p w:rsidR="007D4628" w:rsidRPr="00394379" w:rsidRDefault="00F13702" w:rsidP="005F4C42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proofErr w:type="spellStart"/>
            <w:r w:rsidRPr="00394379">
              <w:rPr>
                <w:rFonts w:ascii="Berlin Sans FB" w:hAnsi="Berlin Sans FB"/>
                <w:sz w:val="28"/>
                <w:szCs w:val="28"/>
              </w:rPr>
              <w:t>Curricul</w:t>
            </w:r>
            <w:r w:rsidR="007D4628" w:rsidRPr="00394379">
              <w:rPr>
                <w:rFonts w:ascii="Berlin Sans FB" w:hAnsi="Berlin Sans FB"/>
                <w:sz w:val="28"/>
                <w:szCs w:val="28"/>
              </w:rPr>
              <w:t>um</w:t>
            </w:r>
            <w:proofErr w:type="spellEnd"/>
            <w:r w:rsidR="007D4628" w:rsidRPr="00394379">
              <w:rPr>
                <w:rFonts w:ascii="Berlin Sans FB" w:hAnsi="Berlin Sans FB"/>
                <w:sz w:val="28"/>
                <w:szCs w:val="28"/>
              </w:rPr>
              <w:t xml:space="preserve"> o programa del curso</w:t>
            </w:r>
          </w:p>
        </w:tc>
        <w:tc>
          <w:tcPr>
            <w:tcW w:w="2556" w:type="dxa"/>
            <w:shd w:val="clear" w:color="auto" w:fill="F97F7F"/>
          </w:tcPr>
          <w:p w:rsidR="007D4628" w:rsidRPr="00394379" w:rsidRDefault="007D4628" w:rsidP="005F4C42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394379">
              <w:rPr>
                <w:rFonts w:ascii="Berlin Sans FB" w:hAnsi="Berlin Sans FB"/>
                <w:sz w:val="28"/>
                <w:szCs w:val="28"/>
              </w:rPr>
              <w:t>Practica y ejercicios de la clase</w:t>
            </w:r>
          </w:p>
        </w:tc>
        <w:tc>
          <w:tcPr>
            <w:tcW w:w="2263" w:type="dxa"/>
            <w:shd w:val="clear" w:color="auto" w:fill="E8A2A2"/>
          </w:tcPr>
          <w:p w:rsidR="007D4628" w:rsidRPr="00394379" w:rsidRDefault="00F13702" w:rsidP="005F4C42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394379">
              <w:rPr>
                <w:rFonts w:ascii="Berlin Sans FB" w:hAnsi="Berlin Sans FB"/>
                <w:sz w:val="28"/>
                <w:szCs w:val="28"/>
              </w:rPr>
              <w:t>Bibliografía</w:t>
            </w:r>
          </w:p>
        </w:tc>
      </w:tr>
      <w:tr w:rsidR="00E5688E" w:rsidTr="008E7680">
        <w:trPr>
          <w:trHeight w:val="1546"/>
        </w:trPr>
        <w:tc>
          <w:tcPr>
            <w:tcW w:w="1702" w:type="dxa"/>
            <w:shd w:val="clear" w:color="auto" w:fill="FF9B9D"/>
          </w:tcPr>
          <w:p w:rsidR="007D4628" w:rsidRPr="005E30B3" w:rsidRDefault="0086531D" w:rsidP="005F4C42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5E30B3">
              <w:rPr>
                <w:rFonts w:ascii="Berlin Sans FB" w:hAnsi="Berlin Sans FB"/>
                <w:sz w:val="28"/>
                <w:szCs w:val="28"/>
              </w:rPr>
              <w:t>Gra</w:t>
            </w:r>
            <w:r w:rsidR="00F13702" w:rsidRPr="005E30B3">
              <w:rPr>
                <w:rFonts w:ascii="Berlin Sans FB" w:hAnsi="Berlin Sans FB"/>
                <w:sz w:val="28"/>
                <w:szCs w:val="28"/>
              </w:rPr>
              <w:t>má</w:t>
            </w:r>
            <w:r w:rsidRPr="005E30B3">
              <w:rPr>
                <w:rFonts w:ascii="Berlin Sans FB" w:hAnsi="Berlin Sans FB"/>
                <w:sz w:val="28"/>
                <w:szCs w:val="28"/>
              </w:rPr>
              <w:t>tica</w:t>
            </w:r>
          </w:p>
        </w:tc>
        <w:tc>
          <w:tcPr>
            <w:tcW w:w="2688" w:type="dxa"/>
            <w:shd w:val="clear" w:color="auto" w:fill="EFBFBF"/>
          </w:tcPr>
          <w:p w:rsidR="005E30B3" w:rsidRDefault="005E30B3" w:rsidP="005F4C42"/>
          <w:p w:rsidR="007D4628" w:rsidRDefault="00871F18" w:rsidP="005F4C42">
            <w:r>
              <w:t>Nace de la enseñanza de la expresión escrita de la lengua materna luego se traspasa por la escritura de la misma.</w:t>
            </w:r>
          </w:p>
        </w:tc>
        <w:tc>
          <w:tcPr>
            <w:tcW w:w="2976" w:type="dxa"/>
            <w:shd w:val="clear" w:color="auto" w:fill="F99A87"/>
          </w:tcPr>
          <w:p w:rsidR="007D4628" w:rsidRDefault="00844FC6" w:rsidP="005F4C42">
            <w:r>
              <w:t>P</w:t>
            </w:r>
            <w:r w:rsidR="00F13702">
              <w:t>arte importante del nú</w:t>
            </w:r>
            <w:r w:rsidR="002F7D64">
              <w:t>cleo de la enseñanza</w:t>
            </w:r>
            <w:r w:rsidR="00E5688E">
              <w:t xml:space="preserve"> </w:t>
            </w:r>
            <w:r>
              <w:t xml:space="preserve">es </w:t>
            </w:r>
            <w:r w:rsidR="00E5688E">
              <w:t>de los griegos y llega a la lingüística moderna tiene dos estudios el modelo oracional (tradicional) y el modelo textual (del discurso)</w:t>
            </w:r>
            <w:r w:rsidR="00F5400F">
              <w:t>.</w:t>
            </w:r>
          </w:p>
        </w:tc>
        <w:tc>
          <w:tcPr>
            <w:tcW w:w="2694" w:type="dxa"/>
            <w:shd w:val="clear" w:color="auto" w:fill="F6C8B4"/>
          </w:tcPr>
          <w:p w:rsidR="005E30B3" w:rsidRDefault="005E30B3" w:rsidP="005F4C42"/>
          <w:p w:rsidR="007D4628" w:rsidRDefault="00F13702" w:rsidP="005F4C42">
            <w:r>
              <w:t>Varían</w:t>
            </w:r>
            <w:r w:rsidR="00871F18">
              <w:t xml:space="preserve"> según la corriente, se enseña ortografía, morfología sintaxis y léxico, la adecuación. </w:t>
            </w:r>
            <w:r w:rsidR="00394379">
              <w:t>Cohesión</w:t>
            </w:r>
            <w:r w:rsidR="00871F18">
              <w:t xml:space="preserve"> y </w:t>
            </w:r>
            <w:r w:rsidR="00394379">
              <w:t>coherencia</w:t>
            </w:r>
            <w:r w:rsidR="00F5400F">
              <w:t>.</w:t>
            </w:r>
          </w:p>
        </w:tc>
        <w:tc>
          <w:tcPr>
            <w:tcW w:w="2556" w:type="dxa"/>
            <w:shd w:val="clear" w:color="auto" w:fill="FA9494"/>
          </w:tcPr>
          <w:p w:rsidR="007D4628" w:rsidRDefault="00871F18" w:rsidP="005F4C42">
            <w:r>
              <w:t xml:space="preserve">Se explica el ítem de la clase, se hacen practicas </w:t>
            </w:r>
            <w:r w:rsidR="002F7D64">
              <w:t>mecánicas (palabras) y abiertas (frases), el profesor corrige los errores.</w:t>
            </w:r>
          </w:p>
        </w:tc>
        <w:tc>
          <w:tcPr>
            <w:tcW w:w="2263" w:type="dxa"/>
            <w:shd w:val="clear" w:color="auto" w:fill="EFBFBF"/>
          </w:tcPr>
          <w:p w:rsidR="007D4628" w:rsidRDefault="005C0243" w:rsidP="005F4C42">
            <w:r>
              <w:t>En el contexto de la enseñanza del español como segunda lengua un b</w:t>
            </w:r>
            <w:r w:rsidR="008E7680">
              <w:t>u</w:t>
            </w:r>
            <w:r>
              <w:t xml:space="preserve">en ejemplo </w:t>
            </w:r>
            <w:r w:rsidR="008E7680">
              <w:t>es Sá</w:t>
            </w:r>
            <w:r>
              <w:t>nchez, Cabré y Matilla (1975).</w:t>
            </w:r>
          </w:p>
        </w:tc>
      </w:tr>
      <w:tr w:rsidR="00E5688E" w:rsidTr="008E7680">
        <w:trPr>
          <w:trHeight w:val="1425"/>
        </w:trPr>
        <w:tc>
          <w:tcPr>
            <w:tcW w:w="1702" w:type="dxa"/>
            <w:shd w:val="clear" w:color="auto" w:fill="FF9B9D"/>
          </w:tcPr>
          <w:p w:rsidR="007D4628" w:rsidRPr="005E30B3" w:rsidRDefault="0086531D" w:rsidP="005F4C42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5E30B3">
              <w:rPr>
                <w:rFonts w:ascii="Berlin Sans FB" w:hAnsi="Berlin Sans FB"/>
                <w:sz w:val="28"/>
                <w:szCs w:val="28"/>
              </w:rPr>
              <w:t>Funciones</w:t>
            </w:r>
          </w:p>
        </w:tc>
        <w:tc>
          <w:tcPr>
            <w:tcW w:w="2688" w:type="dxa"/>
            <w:shd w:val="clear" w:color="auto" w:fill="EFBFBF"/>
          </w:tcPr>
          <w:p w:rsidR="005E30B3" w:rsidRDefault="005E30B3" w:rsidP="005F4C42"/>
          <w:p w:rsidR="007D4628" w:rsidRDefault="00106D1A" w:rsidP="005F4C42">
            <w:r>
              <w:t xml:space="preserve">Nace de la enseñanza de una </w:t>
            </w:r>
            <w:r w:rsidR="00B375C7">
              <w:t>seg</w:t>
            </w:r>
            <w:r>
              <w:t>unda leng</w:t>
            </w:r>
            <w:r w:rsidR="00B375C7">
              <w:t>ua y usar esta para comunicarse. Tiene origen en la filosofía del lenguaje.</w:t>
            </w:r>
          </w:p>
        </w:tc>
        <w:tc>
          <w:tcPr>
            <w:tcW w:w="2976" w:type="dxa"/>
            <w:shd w:val="clear" w:color="auto" w:fill="F99A87"/>
          </w:tcPr>
          <w:p w:rsidR="007D4628" w:rsidRDefault="00B375C7" w:rsidP="005F4C42">
            <w:r>
              <w:t>Herramienta comunicativa para pedir cosas, expresar sentimientos, pedir información, most</w:t>
            </w:r>
            <w:r w:rsidR="00C2497A">
              <w:t>rar habilidad, etc.</w:t>
            </w:r>
            <w:r w:rsidR="00F13702">
              <w:t xml:space="preserve"> conju</w:t>
            </w:r>
            <w:r w:rsidR="00786840">
              <w:t>n</w:t>
            </w:r>
            <w:r w:rsidR="00F13702">
              <w:t xml:space="preserve">to de cosas </w:t>
            </w:r>
            <w:r w:rsidR="00786840">
              <w:t>q</w:t>
            </w:r>
            <w:r w:rsidR="00F13702">
              <w:t>ue pueden conseguirse y se clasifican en grupos.</w:t>
            </w:r>
          </w:p>
        </w:tc>
        <w:tc>
          <w:tcPr>
            <w:tcW w:w="2694" w:type="dxa"/>
            <w:shd w:val="clear" w:color="auto" w:fill="F6C8B4"/>
          </w:tcPr>
          <w:p w:rsidR="007D4628" w:rsidRDefault="00EA3F27" w:rsidP="005F4C42">
            <w:r>
              <w:t xml:space="preserve">Se desarrolla en la enseñanza del inglés y el francés. </w:t>
            </w:r>
            <w:r w:rsidR="00033F12">
              <w:t>Se basa en un conjunto de funciones o actos del habla,</w:t>
            </w:r>
            <w:r>
              <w:t xml:space="preserve"> al igual que se enseña tal como la utilizan los hablantes.</w:t>
            </w:r>
          </w:p>
        </w:tc>
        <w:tc>
          <w:tcPr>
            <w:tcW w:w="2556" w:type="dxa"/>
            <w:shd w:val="clear" w:color="auto" w:fill="FA9494"/>
          </w:tcPr>
          <w:p w:rsidR="007D4628" w:rsidRDefault="00C2497A" w:rsidP="005F4C42">
            <w:r>
              <w:t>Realizar una función determinada en la lengua que se aprende.</w:t>
            </w:r>
            <w:r w:rsidR="00EA3F27">
              <w:t xml:space="preserve"> Cada lección trata un tipo de te</w:t>
            </w:r>
            <w:r w:rsidR="00E95F64">
              <w:t>xto distinto, para tratar los má</w:t>
            </w:r>
            <w:r w:rsidR="00EA3F27">
              <w:t>s importantes.</w:t>
            </w:r>
          </w:p>
        </w:tc>
        <w:tc>
          <w:tcPr>
            <w:tcW w:w="2263" w:type="dxa"/>
            <w:shd w:val="clear" w:color="auto" w:fill="EFBFBF"/>
          </w:tcPr>
          <w:p w:rsidR="007D4628" w:rsidRDefault="008E7680" w:rsidP="005F4C42">
            <w:r>
              <w:t xml:space="preserve">Equipo Avance (1968)    Equipo </w:t>
            </w:r>
            <w:proofErr w:type="spellStart"/>
            <w:r>
              <w:t>pragma</w:t>
            </w:r>
            <w:proofErr w:type="spellEnd"/>
            <w:r>
              <w:t xml:space="preserve"> (1985</w:t>
            </w:r>
            <w:proofErr w:type="gramStart"/>
            <w:r>
              <w:t xml:space="preserve">)  </w:t>
            </w:r>
            <w:proofErr w:type="spellStart"/>
            <w:r>
              <w:t>Cassany</w:t>
            </w:r>
            <w:proofErr w:type="spellEnd"/>
            <w:proofErr w:type="gramEnd"/>
            <w:r>
              <w:t xml:space="preserve"> et. al. (1987)       </w:t>
            </w:r>
            <w:proofErr w:type="spellStart"/>
            <w:r>
              <w:t>Coromina</w:t>
            </w:r>
            <w:proofErr w:type="spellEnd"/>
            <w:r>
              <w:t xml:space="preserve"> (1984) y Bardones et. al. (1989)  Johnson (1981)</w:t>
            </w:r>
          </w:p>
        </w:tc>
      </w:tr>
      <w:tr w:rsidR="00E5688E" w:rsidTr="008E7680">
        <w:trPr>
          <w:trHeight w:val="1403"/>
        </w:trPr>
        <w:tc>
          <w:tcPr>
            <w:tcW w:w="1702" w:type="dxa"/>
            <w:shd w:val="clear" w:color="auto" w:fill="FF9B9D"/>
          </w:tcPr>
          <w:p w:rsidR="007D4628" w:rsidRPr="005E30B3" w:rsidRDefault="0086531D" w:rsidP="005F4C42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5E30B3">
              <w:rPr>
                <w:rFonts w:ascii="Berlin Sans FB" w:hAnsi="Berlin Sans FB"/>
                <w:sz w:val="28"/>
                <w:szCs w:val="28"/>
              </w:rPr>
              <w:t>Proceso</w:t>
            </w:r>
          </w:p>
        </w:tc>
        <w:tc>
          <w:tcPr>
            <w:tcW w:w="2688" w:type="dxa"/>
            <w:shd w:val="clear" w:color="auto" w:fill="EFBFBF"/>
          </w:tcPr>
          <w:p w:rsidR="007D4628" w:rsidRDefault="00E95F64" w:rsidP="005F4C42">
            <w:r>
              <w:t xml:space="preserve">Se desarrolló en </w:t>
            </w:r>
            <w:r w:rsidR="00D23C70">
              <w:t>E.U.</w:t>
            </w:r>
            <w:r>
              <w:t xml:space="preserve"> de una investigación en la que </w:t>
            </w:r>
            <w:r w:rsidR="00D23C70">
              <w:t xml:space="preserve">observaron que </w:t>
            </w:r>
            <w:r w:rsidR="00844FC6">
              <w:t>alumnos má</w:t>
            </w:r>
            <w:r>
              <w:t xml:space="preserve">s sobresalientes eran los que </w:t>
            </w:r>
            <w:r w:rsidR="006F209D">
              <w:t xml:space="preserve">escribían lo que no </w:t>
            </w:r>
            <w:r w:rsidR="00844FC6">
              <w:t>conocían</w:t>
            </w:r>
            <w:r w:rsidR="00F5400F">
              <w:t>.</w:t>
            </w:r>
          </w:p>
        </w:tc>
        <w:tc>
          <w:tcPr>
            <w:tcW w:w="2976" w:type="dxa"/>
            <w:shd w:val="clear" w:color="auto" w:fill="F99A87"/>
          </w:tcPr>
          <w:p w:rsidR="005A7C85" w:rsidRDefault="008E3207" w:rsidP="005F4C42">
            <w:r>
              <w:t xml:space="preserve">Se influye de la psicología cognitiva. </w:t>
            </w:r>
            <w:r w:rsidR="00115980">
              <w:t xml:space="preserve">Proceso de </w:t>
            </w:r>
            <w:r w:rsidR="00325052">
              <w:t>composición contraponiendo los que premian el producto acabado.</w:t>
            </w:r>
          </w:p>
        </w:tc>
        <w:tc>
          <w:tcPr>
            <w:tcW w:w="2694" w:type="dxa"/>
            <w:shd w:val="clear" w:color="auto" w:fill="F6C8B4"/>
          </w:tcPr>
          <w:p w:rsidR="007D4628" w:rsidRDefault="00781650" w:rsidP="005F4C42">
            <w:r>
              <w:t>Dominar el proceso de composición de textos: generar ideas, hacer esquemas, revisar un borrador, corregir, formular un texto, etc.</w:t>
            </w:r>
          </w:p>
        </w:tc>
        <w:tc>
          <w:tcPr>
            <w:tcW w:w="2556" w:type="dxa"/>
            <w:shd w:val="clear" w:color="auto" w:fill="FA9494"/>
          </w:tcPr>
          <w:p w:rsidR="007D4628" w:rsidRDefault="000D1F2F" w:rsidP="005F4C42">
            <w:r>
              <w:t>Enseña a pe</w:t>
            </w:r>
            <w:r w:rsidR="00C625FD">
              <w:t>n</w:t>
            </w:r>
            <w:r>
              <w:t>sar, a hac</w:t>
            </w:r>
            <w:r w:rsidR="00C625FD">
              <w:t>e</w:t>
            </w:r>
            <w:r>
              <w:t>r</w:t>
            </w:r>
            <w:r w:rsidR="00C625FD">
              <w:t xml:space="preserve"> esquemas, ordenar ideas, revisar el escrito, etc. Pretende enseñar a esculpir y no las esculturas.</w:t>
            </w:r>
          </w:p>
        </w:tc>
        <w:tc>
          <w:tcPr>
            <w:tcW w:w="2263" w:type="dxa"/>
            <w:shd w:val="clear" w:color="auto" w:fill="EFBFBF"/>
          </w:tcPr>
          <w:p w:rsidR="007D4628" w:rsidRDefault="008E7680" w:rsidP="008D0B5F">
            <w:proofErr w:type="spellStart"/>
            <w:r>
              <w:t>Cassany</w:t>
            </w:r>
            <w:proofErr w:type="spellEnd"/>
            <w:r>
              <w:t xml:space="preserve"> (1987-1989)  </w:t>
            </w:r>
            <w:r w:rsidR="008D0B5F">
              <w:t xml:space="preserve">   </w:t>
            </w:r>
            <w:proofErr w:type="spellStart"/>
            <w:r w:rsidR="008D0B5F">
              <w:t>serafini</w:t>
            </w:r>
            <w:proofErr w:type="spellEnd"/>
            <w:r w:rsidR="008D0B5F">
              <w:t xml:space="preserve"> (1985) Enfoques metodológicos</w:t>
            </w:r>
            <w:r>
              <w:t xml:space="preserve"> </w:t>
            </w:r>
            <w:r w:rsidR="008D0B5F">
              <w:t xml:space="preserve">para un proyecto (1985) </w:t>
            </w:r>
            <w:proofErr w:type="spellStart"/>
            <w:r w:rsidR="008D0B5F">
              <w:t>Flowe</w:t>
            </w:r>
            <w:proofErr w:type="spellEnd"/>
            <w:r w:rsidR="008D0B5F">
              <w:t xml:space="preserve"> (1985) Murray</w:t>
            </w:r>
          </w:p>
        </w:tc>
      </w:tr>
      <w:tr w:rsidR="00E5688E" w:rsidTr="008E7680">
        <w:trPr>
          <w:trHeight w:val="1538"/>
        </w:trPr>
        <w:tc>
          <w:tcPr>
            <w:tcW w:w="1702" w:type="dxa"/>
            <w:shd w:val="clear" w:color="auto" w:fill="FF9B9D"/>
          </w:tcPr>
          <w:p w:rsidR="007D4628" w:rsidRPr="005E30B3" w:rsidRDefault="00115980" w:rsidP="005F4C42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5E30B3">
              <w:rPr>
                <w:rFonts w:ascii="Berlin Sans FB" w:hAnsi="Berlin Sans FB"/>
                <w:sz w:val="28"/>
                <w:szCs w:val="28"/>
              </w:rPr>
              <w:t>C</w:t>
            </w:r>
            <w:r w:rsidR="0086531D" w:rsidRPr="005E30B3">
              <w:rPr>
                <w:rFonts w:ascii="Berlin Sans FB" w:hAnsi="Berlin Sans FB"/>
                <w:sz w:val="28"/>
                <w:szCs w:val="28"/>
              </w:rPr>
              <w:t>ontenido</w:t>
            </w:r>
          </w:p>
        </w:tc>
        <w:tc>
          <w:tcPr>
            <w:tcW w:w="2688" w:type="dxa"/>
            <w:shd w:val="clear" w:color="auto" w:fill="EFBFBF"/>
          </w:tcPr>
          <w:p w:rsidR="007D4628" w:rsidRDefault="00DC3F26" w:rsidP="005F4C42">
            <w:r>
              <w:t>Se desarrolló en dos contextos académicos, en los cursos de escritura y en las escuelas básicas y medias.</w:t>
            </w:r>
          </w:p>
        </w:tc>
        <w:tc>
          <w:tcPr>
            <w:tcW w:w="2976" w:type="dxa"/>
            <w:shd w:val="clear" w:color="auto" w:fill="F99A87"/>
          </w:tcPr>
          <w:p w:rsidR="007D4628" w:rsidRDefault="00D27E6F" w:rsidP="005F4C42">
            <w:r>
              <w:t xml:space="preserve">Mostrar evaluaciones o resultados, </w:t>
            </w:r>
            <w:r w:rsidR="005F27B0">
              <w:t xml:space="preserve">tiene </w:t>
            </w:r>
            <w:r>
              <w:t xml:space="preserve">lenguaje </w:t>
            </w:r>
            <w:r w:rsidR="005F27B0">
              <w:t>técnico</w:t>
            </w:r>
            <w:r>
              <w:t>, pr</w:t>
            </w:r>
            <w:r w:rsidR="005F27B0">
              <w:t>o</w:t>
            </w:r>
            <w:r>
              <w:t xml:space="preserve">viene de otros textos, </w:t>
            </w:r>
            <w:r w:rsidR="005F27B0">
              <w:t>el destinatario es el profesor.</w:t>
            </w:r>
          </w:p>
        </w:tc>
        <w:tc>
          <w:tcPr>
            <w:tcW w:w="2694" w:type="dxa"/>
            <w:shd w:val="clear" w:color="auto" w:fill="F6C8B4"/>
          </w:tcPr>
          <w:p w:rsidR="007D4628" w:rsidRDefault="0020243F" w:rsidP="005F4C42">
            <w:r>
              <w:t>Escribir textos sobre temas de la asignatura correspondiente para aprender de estos temas y practicar su expresión.</w:t>
            </w:r>
          </w:p>
        </w:tc>
        <w:tc>
          <w:tcPr>
            <w:tcW w:w="2556" w:type="dxa"/>
            <w:shd w:val="clear" w:color="auto" w:fill="FA9494"/>
          </w:tcPr>
          <w:p w:rsidR="007D4628" w:rsidRDefault="00E146BC" w:rsidP="005F4C42">
            <w:r>
              <w:t xml:space="preserve">Investigar sobre el tema, discute los contenidos con sus compañeros y su profesor, prepara ideas para su texto escrito. </w:t>
            </w:r>
          </w:p>
        </w:tc>
        <w:tc>
          <w:tcPr>
            <w:tcW w:w="2263" w:type="dxa"/>
            <w:shd w:val="clear" w:color="auto" w:fill="EFBFBF"/>
          </w:tcPr>
          <w:p w:rsidR="007D4628" w:rsidRDefault="008D0B5F" w:rsidP="005F4C42">
            <w:r>
              <w:t xml:space="preserve">Dos buenos textos sobre este enfoque son </w:t>
            </w:r>
            <w:proofErr w:type="spellStart"/>
            <w:r>
              <w:t>Shih</w:t>
            </w:r>
            <w:proofErr w:type="spellEnd"/>
            <w:r>
              <w:t xml:space="preserve"> (1986) y Griffin (1982)</w:t>
            </w:r>
            <w:bookmarkStart w:id="0" w:name="_GoBack"/>
            <w:bookmarkEnd w:id="0"/>
          </w:p>
        </w:tc>
      </w:tr>
    </w:tbl>
    <w:p w:rsidR="00115980" w:rsidRDefault="00115980" w:rsidP="00E146BC"/>
    <w:sectPr w:rsidR="00115980" w:rsidSect="007D462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28"/>
    <w:rsid w:val="00033F12"/>
    <w:rsid w:val="000D1F2F"/>
    <w:rsid w:val="000E6CD4"/>
    <w:rsid w:val="00106D1A"/>
    <w:rsid w:val="00115980"/>
    <w:rsid w:val="0020243F"/>
    <w:rsid w:val="002F7D64"/>
    <w:rsid w:val="00325052"/>
    <w:rsid w:val="00394379"/>
    <w:rsid w:val="003E7AF7"/>
    <w:rsid w:val="005A7C85"/>
    <w:rsid w:val="005C0243"/>
    <w:rsid w:val="005E30B3"/>
    <w:rsid w:val="005F27B0"/>
    <w:rsid w:val="005F4C42"/>
    <w:rsid w:val="00673869"/>
    <w:rsid w:val="006F209D"/>
    <w:rsid w:val="00781650"/>
    <w:rsid w:val="00786840"/>
    <w:rsid w:val="007D4628"/>
    <w:rsid w:val="00844FC6"/>
    <w:rsid w:val="0086531D"/>
    <w:rsid w:val="0086704C"/>
    <w:rsid w:val="00871F18"/>
    <w:rsid w:val="008D0B5F"/>
    <w:rsid w:val="008E3207"/>
    <w:rsid w:val="008E7680"/>
    <w:rsid w:val="009A77A5"/>
    <w:rsid w:val="009A7B69"/>
    <w:rsid w:val="00B375C7"/>
    <w:rsid w:val="00C2497A"/>
    <w:rsid w:val="00C625FD"/>
    <w:rsid w:val="00CC68E4"/>
    <w:rsid w:val="00D23C70"/>
    <w:rsid w:val="00D27E6F"/>
    <w:rsid w:val="00DC3F26"/>
    <w:rsid w:val="00E146BC"/>
    <w:rsid w:val="00E51955"/>
    <w:rsid w:val="00E5688E"/>
    <w:rsid w:val="00E95F64"/>
    <w:rsid w:val="00EA3F27"/>
    <w:rsid w:val="00F13702"/>
    <w:rsid w:val="00F5400F"/>
    <w:rsid w:val="00F73C1D"/>
    <w:rsid w:val="00FA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DD19"/>
  <w15:chartTrackingRefBased/>
  <w15:docId w15:val="{6EE970DD-506B-4E82-B316-76FDD5F9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BCD5A-C95A-440C-9244-760F610F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2021-09-10T01:04:00Z</dcterms:created>
  <dcterms:modified xsi:type="dcterms:W3CDTF">2021-09-13T23:51:00Z</dcterms:modified>
</cp:coreProperties>
</file>