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ESCUELA NORMAL DE EDUCACIÓN PREESCOLAR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CICLO ESCOLAR 2021-2022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LICENCIATURA EN EDUCACIÓN PREESCOLAR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PENSAMIENTO CUANTITATIVO</w:t>
      </w:r>
    </w:p>
    <w:p>
      <w:pPr>
        <w:spacing w:before="0" w:after="0" w:line="240"/>
        <w:ind w:right="0" w:left="0" w:firstLine="0"/>
        <w:jc w:val="center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UNIDAD 1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 pensamiento cuantitativo, su enseñanza y aprendizaje en el plan y programas de estudio de educación preescolar </w:t>
      </w:r>
    </w:p>
    <w:p>
      <w:pPr>
        <w:spacing w:before="0" w:after="0" w:line="240"/>
        <w:ind w:right="0" w:left="360" w:hanging="36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36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Temas:</w:t>
      </w:r>
    </w:p>
    <w:p>
      <w:pPr>
        <w:spacing w:before="0" w:after="0" w:line="240"/>
        <w:ind w:right="0" w:left="360" w:hanging="360"/>
        <w:jc w:val="center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Descripción de los organizadores curriculares (estructura curricular, ejes temáticos y temas) y Aprendizajes esperados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Competencia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desarrollar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Aprendizaje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esperado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: Comprende el enfoque y los propósitos del campo de pensamiento matemático en el preescolar e Identifica los organizadores curriculares y aprendizajes de dicho campo.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Competencias esperadas del perfil de egreso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:   Aplica el Plan y Programas de estudio para alcanzar los propósitos educativos y contribuir al pleno desenvolvimiento de las capacidades de los alumnos.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Alumna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: Kenia Marily Monsivais Rodriguez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Campo: PENSAMIENTO MATEMÁTICO</w:t>
      </w:r>
    </w:p>
    <w:p>
      <w:pPr>
        <w:spacing w:before="0" w:after="200" w:line="276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5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00" w:val="clear"/>
        </w:rPr>
        <w:t xml:space="preserve">Enfoque del campo de pensamiento matemático en preescolar: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5"/>
          <w:shd w:fill="auto" w:val="clear"/>
        </w:rPr>
        <w:t xml:space="preserve"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00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00" w:val="clear"/>
        </w:rPr>
        <w:t xml:space="preserve">Propósitos de preescolar del campo de pensamiento matemático: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Usar el razonamiento matemático en situaciones diversas que demanden utilizar el conteo y los primeros números.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Comprender las relaciones entre los datos de un problema y usar procedimientos propios para resolverlos. 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Razonar para reconocer atributos, comparar y medir la longitud de objetos y la capacidad de recipientes, así como para reconocer el orden temporal de diferentes sucesos y ubicar objetos en el espacio.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270"/>
        <w:gridCol w:w="1242"/>
        <w:gridCol w:w="1933"/>
        <w:gridCol w:w="2489"/>
        <w:gridCol w:w="2993"/>
        <w:gridCol w:w="2860"/>
      </w:tblGrid>
      <w:tr>
        <w:trPr>
          <w:trHeight w:val="705" w:hRule="auto"/>
          <w:jc w:val="left"/>
        </w:trPr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FF0000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EJE</w:t>
            </w:r>
          </w:p>
        </w:tc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FFC000"/>
                <w:spacing w:val="0"/>
                <w:position w:val="0"/>
                <w:sz w:val="24"/>
                <w:shd w:fill="auto" w:val="clear"/>
              </w:rPr>
              <w:t xml:space="preserve">TEMA</w:t>
            </w: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00B050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B050"/>
                <w:spacing w:val="0"/>
                <w:position w:val="0"/>
                <w:sz w:val="24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i/>
                <w:color w:val="00B050"/>
                <w:spacing w:val="0"/>
                <w:position w:val="0"/>
                <w:sz w:val="22"/>
                <w:shd w:fill="auto" w:val="clear"/>
              </w:rPr>
              <w:t xml:space="preserve">PRENDIZAJE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i/>
                <w:color w:val="004DBB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4DBB"/>
                <w:spacing w:val="0"/>
                <w:position w:val="0"/>
                <w:sz w:val="24"/>
                <w:shd w:fill="auto" w:val="clear"/>
              </w:rPr>
              <w:t xml:space="preserve">NIVEL DE PROFUNDIDAD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004DBB"/>
                <w:spacing w:val="0"/>
                <w:position w:val="0"/>
                <w:shd w:fill="auto" w:val="clear"/>
              </w:rPr>
            </w:pPr>
          </w:p>
        </w:tc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9B00D3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9B00D3"/>
                <w:spacing w:val="0"/>
                <w:position w:val="0"/>
                <w:sz w:val="24"/>
                <w:shd w:fill="auto" w:val="clear"/>
              </w:rPr>
              <w:t xml:space="preserve">¿qué deben saber los niños?</w:t>
            </w:r>
          </w:p>
        </w:tc>
        <w:tc>
          <w:tcPr>
            <w:tcW w:w="2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¿qué hacer los niños?</w:t>
            </w:r>
          </w:p>
        </w:tc>
      </w:tr>
      <w:tr>
        <w:trPr>
          <w:trHeight w:val="635" w:hRule="auto"/>
          <w:jc w:val="left"/>
        </w:trPr>
        <w:tc>
          <w:tcPr>
            <w:tcW w:w="12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C0504D"/>
                <w:spacing w:val="0"/>
                <w:position w:val="0"/>
                <w:sz w:val="24"/>
                <w:shd w:fill="auto" w:val="clear"/>
              </w:rPr>
              <w:t xml:space="preserve">Número, álgebra y variación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DD8484"/>
                <w:spacing w:val="0"/>
                <w:position w:val="0"/>
                <w:sz w:val="24"/>
                <w:shd w:fill="auto" w:val="clear"/>
              </w:rPr>
              <w:t xml:space="preserve">Número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  <w:t xml:space="preserve">sCuenta colecciones no mayores a 20 elementos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  <w:t xml:space="preserve">Identifica algunas relaciones de equivalencia entre monedas de $1, $2, $5 y $10 en situaciones reales o ficticias de compra y venta.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  <w:t xml:space="preserve">Comunica de manera oral o escrita los números del 1 al 10, en diversas situaciones y de diferentes maneras incluida la convencional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  <w:t xml:space="preserve">Relaciona el número de elementos de una colección con la sucesión numérica escrita, del 1 al 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  <w:t xml:space="preserve">Identifica algunos usos de los números en la vida cotidiana y entiende qué significan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  <w:t xml:space="preserve">Resuelve problemas a través del conteo y con acciones sobre las colecciones.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  <w:t xml:space="preserve">Compara, iguala y clasifica colecciones con base en la cantidad de elementos</w:t>
            </w:r>
          </w:p>
        </w:tc>
        <w:tc>
          <w:tcPr>
            <w:tcW w:w="2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9B00D3"/>
                <w:spacing w:val="0"/>
                <w:position w:val="0"/>
                <w:sz w:val="18"/>
                <w:shd w:fill="auto" w:val="clear"/>
              </w:rPr>
              <w:t xml:space="preserve">Dominio sobre el conteo en lo que respecta a los rangos numéricos de los datos y el de los resultados con base en sus posibilidades cognitivas, aumentando el rango hasta 10, 20 o 30, llegando a contar colecciones hasta de 20 elementos y algunos lo harán hasta con 30.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4BACC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4BACC6"/>
                <w:spacing w:val="0"/>
                <w:position w:val="0"/>
                <w:sz w:val="18"/>
                <w:shd w:fill="auto" w:val="clear"/>
              </w:rPr>
              <w:t xml:space="preserve">Comunicar de manera oral y escrita los elementos de una colección implica, entre otras cosas, saber contar.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9B00D3"/>
                <w:spacing w:val="0"/>
                <w:position w:val="0"/>
                <w:sz w:val="18"/>
                <w:shd w:fill="auto" w:val="clear"/>
              </w:rPr>
              <w:t xml:space="preserve">Se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4BACC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4BACC6"/>
                <w:spacing w:val="0"/>
                <w:position w:val="0"/>
                <w:sz w:val="18"/>
                <w:shd w:fill="auto" w:val="clear"/>
              </w:rPr>
              <w:t xml:space="preserve">Que los niños resuelvan problemas que se les plantean de forma verbal, ya sea por medio del conteo u otras acciones sobre las colecciones.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4BACC6"/>
                <w:spacing w:val="0"/>
                <w:position w:val="0"/>
                <w:sz w:val="18"/>
                <w:shd w:fill="auto" w:val="clear"/>
              </w:rPr>
              <w:t xml:space="preserve">Enriquecer el conocimiento de los números cuando estos aparecen, reflexionando acerca de para que sirven y que información están dando</w:t>
            </w:r>
            <w:r>
              <w:rPr>
                <w:rFonts w:ascii="Calibri" w:hAnsi="Calibri" w:cs="Calibri" w:eastAsia="Calibri"/>
                <w:color w:val="FFC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9B00D3"/>
                <w:spacing w:val="0"/>
                <w:position w:val="0"/>
                <w:sz w:val="18"/>
                <w:shd w:fill="auto" w:val="clear"/>
              </w:rPr>
              <w:t xml:space="preserve">Que sea capaz de hacer registros que necesiten para apoyar su razonamiento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4BACC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4BACC6"/>
                <w:spacing w:val="0"/>
                <w:position w:val="0"/>
                <w:sz w:val="18"/>
                <w:shd w:fill="auto" w:val="clear"/>
              </w:rPr>
              <w:t xml:space="preserve">Que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Reconocer que entre más </w:t>
            </w: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elementos tiene una coleccion se avanza mas tanto en la sucesion numerica oral como en la escrita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Reconocer los números escritos, al ir siguiendo la secuencia de la serie numérica e ir mencionando el nombre de cada número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Reconocer el “mayor” o “menor” entre dos números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Identificar el valor de las monedas nacionales y las relaciones de equivalencia.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Conocer el antecesor y sucesor de un número dado.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Reconocer que entre más elementos tiene una colección se avanza más tanto en la sucesión numérica oral como en la escrita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Reconocer el “mayor” o “menor” entre dos números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Reconocer los números escritos, al ir siguiendo la secuencia de la serie numérica e ir mencionando el nombre de cada una.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Desarrollar el conteo de números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Los niños identifican que numero va más “adelante del otro”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Reconocer los números escritos, al ir siguiendo la secuencia de la serie numérica e ir mencionando el nombre de cada número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Reconocer que entre más elementos tiene una colección se avanza más tanto en la sucesión numérica escrita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Conocer el antecesor y sucesor de un número dado; por ejemplo, al ubicar el número 3 saben que antes está el 2 y después el 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Reconocer que entre más elementos tiene una colección se avanza más tanto en la sucesión numérica oral como en la escrita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Reconocer el antecesor y sucesor de un numero dado.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18"/>
                <w:shd w:fill="auto" w:val="clear"/>
              </w:rPr>
              <w:t xml:space="preserve">reconozcan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FFFF00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Usar monedas en situaciones de compra y venta con “dinero”, en las que los productos tengan un precio menor a $10.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Resolver problemas numéricos con el apoyo de objetos, registros u oralmente.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Resuelvan planteamientos como “Si quiero cambiar una moneda de 2 pesos por monedas de 1 peso, ¿cuántas monedas me darán?”.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El conteo para representar las colecciones involucradas y comprender mejor lo que tienen que hacer para resolver el problema, además de usar el conteo para hacer el cálculo implicado en la solución. </w:t>
            </w:r>
          </w:p>
        </w:tc>
      </w:tr>
      <w:tr>
        <w:trPr>
          <w:trHeight w:val="3150" w:hRule="auto"/>
          <w:jc w:val="left"/>
        </w:trPr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Reconocer los números escritos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Comprender el significado de los números en diversos contextos como parte del desarrollo del pensamiento matemático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Conocer el antecesor y sucesor de un número dado; por ejemplo, al ubicar el número 3 saben que antes está el 2 y después el 4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Reconocer los números escritos, al ir siguiendo la secuencia de la serie numérica e ir mencionando el nombre de cada número.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Reconocer el “mayor” o “menor” entre dos números; por ejemplo, ante la pregunta “¿Cuál es mayor entre 4 y 8?”, los niños pueden visualizar que en la serie numérica el ocho está “más adelante” y eso significa que es mayor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2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Contar colecciones de al menos diez elementos, pero quienes cursen tres años de preescolar puedan llegar a contar colecciones hasta de 20 elementos y algunos lo harán hasta con 30.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Practican el conteo, y sea amplia su rango de dominio.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35" w:hRule="auto"/>
          <w:jc w:val="left"/>
        </w:trPr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MS Mincho" w:hAnsi="MS Mincho" w:cs="MS Mincho" w:eastAsia="MS Mincho"/>
                <w:color w:val="004DBB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S Mincho" w:hAnsi="MS Mincho" w:cs="MS Mincho" w:eastAsia="MS Mincho"/>
                <w:color w:val="004DBB"/>
                <w:spacing w:val="0"/>
                <w:position w:val="0"/>
                <w:sz w:val="18"/>
                <w:shd w:fill="auto" w:val="clear"/>
              </w:rPr>
              <w:t xml:space="preserve">Identificar la relación entre quitar elementos a una colección y retroceder en la sucesión numérica escrita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MS Mincho" w:hAnsi="MS Mincho" w:cs="MS Mincho" w:eastAsia="MS Mincho"/>
                <w:color w:val="auto"/>
                <w:spacing w:val="0"/>
                <w:position w:val="0"/>
                <w:sz w:val="18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Reconocer los números escritos, al ir siguiendo la secuencia de la serie numérica e ir mencionando el nombre de cada número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2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Empiezan a interactuar con las relaciones auditivas de los números, lo cual se manifiesta cuando dicen “Me faltaron tres para llegar al ocho”;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Representa cantidades de forma escrita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35" w:hRule="auto"/>
          <w:jc w:val="left"/>
        </w:trPr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Identifica la relación entre quitar elementos a una colección y retrocede en la sucesión numérica</w:t>
            </w: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Representar cantidades de forma escrita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Conocer el antecesor y sucesor de un número dado; Por ejemplo, al ubicar el número 3 saben que antes está el 2 y después el 4 dado; por ejemplo, al ubicar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Comprender los problemas que se le plantean de manera verbal.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2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Representar cantidades de forma escrita.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35" w:hRule="auto"/>
          <w:jc w:val="left"/>
        </w:trPr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18"/>
                <w:shd w:fill="auto" w:val="clear"/>
              </w:rPr>
              <w:t xml:space="preserve"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B050"/>
                <w:spacing w:val="0"/>
                <w:position w:val="0"/>
                <w:sz w:val="18"/>
                <w:shd w:fill="auto" w:val="clear"/>
              </w:rPr>
              <w:t xml:space="preserve"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2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MS Mincho" w:hAnsi="MS Mincho" w:cs="MS Mincho" w:eastAsia="MS Mincho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S Mincho" w:hAnsi="MS Mincho" w:cs="MS Mincho" w:eastAsia="MS Mincho"/>
                <w:color w:val="auto"/>
                <w:spacing w:val="0"/>
                <w:position w:val="0"/>
                <w:sz w:val="18"/>
                <w:shd w:fill="auto" w:val="clear"/>
              </w:rPr>
              <w:t xml:space="preserve">Explicar la estrategia empleada para resolver un problema y compartir resultados con los demás.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MS Mincho" w:hAnsi="MS Mincho" w:cs="MS Mincho" w:eastAsia="MS Mincho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S Mincho" w:hAnsi="MS Mincho" w:cs="MS Mincho" w:eastAsia="MS Mincho"/>
                <w:color w:val="auto"/>
                <w:spacing w:val="0"/>
                <w:position w:val="0"/>
                <w:sz w:val="18"/>
                <w:shd w:fill="auto" w:val="clear"/>
              </w:rPr>
              <w:t xml:space="preserve">Usar los números como cardinal, nominativo (etiqueta o código) y ordinal en diferentes situaciones de la vida cotidiana.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Representar cantidades de forma escrita.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10" w:hRule="auto"/>
          <w:jc w:val="left"/>
        </w:trPr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resolver problemas que se le plantean de forma verbal, ya sea por medio del conteo u otras acciones sobre las colecciones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Determina la cantidad de elementos en colecciones pequeñas ya sea por percepción o por conteo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45" w:hRule="auto"/>
          <w:jc w:val="left"/>
        </w:trPr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2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Determina la cantidad de elementos en colecciones pequeñas ya sea por percepción o por conteo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RÚBRICA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809" w:dyaOrig="8064">
          <v:rect xmlns:o="urn:schemas-microsoft-com:office:office" xmlns:v="urn:schemas-microsoft-com:vml" id="rectole0000000000" style="width:590.450000pt;height:40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