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i w:val="0"/>
          <w:color w:val="000000"/>
          <w:sz w:val="40"/>
          <w:szCs w:val="40"/>
        </w:rPr>
      </w:pPr>
      <w:r w:rsidDel="00000000" w:rsidR="00000000" w:rsidRPr="00000000">
        <w:rPr>
          <w:rFonts w:ascii="Century Gothic" w:cs="Century Gothic" w:eastAsia="Century Gothic" w:hAnsi="Century Gothic"/>
          <w:b w:val="1"/>
          <w:i w:val="0"/>
          <w:color w:val="000000"/>
          <w:sz w:val="40"/>
          <w:szCs w:val="40"/>
          <w:rtl w:val="0"/>
        </w:rPr>
        <w:t xml:space="preserve">Escuela Normal de Educación Preescolar.</w:t>
      </w:r>
      <w:r w:rsidDel="00000000" w:rsidR="00000000" w:rsidRPr="00000000">
        <w:drawing>
          <wp:anchor allowOverlap="1" behindDoc="0" distB="0" distT="0" distL="114300" distR="114300" hidden="0" layoutInCell="1" locked="0" relativeHeight="0" simplePos="0">
            <wp:simplePos x="0" y="0"/>
            <wp:positionH relativeFrom="column">
              <wp:posOffset>-451484</wp:posOffset>
            </wp:positionH>
            <wp:positionV relativeFrom="paragraph">
              <wp:posOffset>0</wp:posOffset>
            </wp:positionV>
            <wp:extent cx="1857375" cy="1381125"/>
            <wp:effectExtent b="0" l="0" r="0" t="0"/>
            <wp:wrapSquare wrapText="bothSides" distB="0" distT="0" distL="114300" distR="114300"/>
            <wp:docPr descr="Escuela Normal de Educación Preescolar – Desarrollo de competencias  linguisticas" id="1" name="image1.png"/>
            <a:graphic>
              <a:graphicData uri="http://schemas.openxmlformats.org/drawingml/2006/picture">
                <pic:pic>
                  <pic:nvPicPr>
                    <pic:cNvPr descr="Escuela Normal de Educación Preescolar – Desarrollo de competencias  linguisticas" id="0" name="image1.png"/>
                    <pic:cNvPicPr preferRelativeResize="0"/>
                  </pic:nvPicPr>
                  <pic:blipFill>
                    <a:blip r:embed="rId6"/>
                    <a:srcRect b="0" l="0" r="0" t="0"/>
                    <a:stretch>
                      <a:fillRect/>
                    </a:stretch>
                  </pic:blipFill>
                  <pic:spPr>
                    <a:xfrm>
                      <a:off x="0" y="0"/>
                      <a:ext cx="1857375" cy="1381125"/>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i w:val="0"/>
          <w:color w:val="000000"/>
          <w:sz w:val="40"/>
          <w:szCs w:val="40"/>
        </w:rPr>
      </w:pPr>
      <w:r w:rsidDel="00000000" w:rsidR="00000000" w:rsidRPr="00000000">
        <w:rPr>
          <w:rFonts w:ascii="Century Gothic" w:cs="Century Gothic" w:eastAsia="Century Gothic" w:hAnsi="Century Gothic"/>
          <w:b w:val="1"/>
          <w:i w:val="0"/>
          <w:color w:val="000000"/>
          <w:sz w:val="40"/>
          <w:szCs w:val="40"/>
          <w:rtl w:val="0"/>
        </w:rPr>
        <w:t xml:space="preserve">Licenciatura en Educación Preescolar.</w:t>
      </w:r>
    </w:p>
    <w:p w:rsidR="00000000" w:rsidDel="00000000" w:rsidP="00000000" w:rsidRDefault="00000000" w:rsidRPr="00000000" w14:paraId="00000003">
      <w:pPr>
        <w:jc w:val="center"/>
        <w:rPr>
          <w:rFonts w:ascii="Century Gothic" w:cs="Century Gothic" w:eastAsia="Century Gothic" w:hAnsi="Century Gothic"/>
          <w:b w:val="1"/>
          <w:i w:val="0"/>
          <w:color w:val="000000"/>
          <w:sz w:val="30"/>
          <w:szCs w:val="30"/>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i w:val="0"/>
          <w:color w:val="000000"/>
          <w:sz w:val="30"/>
          <w:szCs w:val="30"/>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Curso: lenguaje y alfabetización.</w:t>
      </w:r>
    </w:p>
    <w:p w:rsidR="00000000" w:rsidDel="00000000" w:rsidP="00000000" w:rsidRDefault="00000000" w:rsidRPr="00000000" w14:paraId="00000006">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Maestro: Narciso Rodríguez Espinosa.</w:t>
      </w:r>
    </w:p>
    <w:p w:rsidR="00000000" w:rsidDel="00000000" w:rsidP="00000000" w:rsidRDefault="00000000" w:rsidRPr="00000000" w14:paraId="00000007">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Alumnas: Angélyca Pamela Rodriguez de la Peña. #15</w:t>
      </w:r>
    </w:p>
    <w:p w:rsidR="00000000" w:rsidDel="00000000" w:rsidP="00000000" w:rsidRDefault="00000000" w:rsidRPr="00000000" w14:paraId="00000008">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Jimena Wendolyn Avila Pecina #O2</w:t>
      </w:r>
    </w:p>
    <w:p w:rsidR="00000000" w:rsidDel="00000000" w:rsidP="00000000" w:rsidRDefault="00000000" w:rsidRPr="00000000" w14:paraId="00000009">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Valeria Torres Gutiérrez #</w:t>
      </w:r>
      <w:r w:rsidDel="00000000" w:rsidR="00000000" w:rsidRPr="00000000">
        <w:rPr>
          <w:rFonts w:ascii="Century Gothic" w:cs="Century Gothic" w:eastAsia="Century Gothic" w:hAnsi="Century Gothic"/>
          <w:b w:val="1"/>
          <w:sz w:val="30"/>
          <w:szCs w:val="30"/>
          <w:rtl w:val="0"/>
        </w:rPr>
        <w:t xml:space="preserve">17</w:t>
      </w:r>
      <w:r w:rsidDel="00000000" w:rsidR="00000000" w:rsidRPr="00000000">
        <w:rPr>
          <w:rtl w:val="0"/>
        </w:rPr>
      </w:r>
    </w:p>
    <w:p w:rsidR="00000000" w:rsidDel="00000000" w:rsidP="00000000" w:rsidRDefault="00000000" w:rsidRPr="00000000" w14:paraId="0000000A">
      <w:pPr>
        <w:jc w:val="center"/>
        <w:rPr>
          <w:rFonts w:ascii="Century Gothic" w:cs="Century Gothic" w:eastAsia="Century Gothic" w:hAnsi="Century Gothic"/>
          <w:b w:val="1"/>
          <w:i w:val="0"/>
          <w:color w:val="000000"/>
          <w:sz w:val="30"/>
          <w:szCs w:val="30"/>
        </w:rPr>
      </w:pPr>
      <w:r w:rsidDel="00000000" w:rsidR="00000000" w:rsidRPr="00000000">
        <w:rPr>
          <w:rtl w:val="0"/>
        </w:rPr>
      </w:r>
    </w:p>
    <w:p w:rsidR="00000000" w:rsidDel="00000000" w:rsidP="00000000" w:rsidRDefault="00000000" w:rsidRPr="00000000" w14:paraId="0000000B">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Semestre: 3 sección: D</w:t>
      </w:r>
    </w:p>
    <w:p w:rsidR="00000000" w:rsidDel="00000000" w:rsidP="00000000" w:rsidRDefault="00000000" w:rsidRPr="00000000" w14:paraId="0000000C">
      <w:pPr>
        <w:jc w:val="center"/>
        <w:rPr>
          <w:rFonts w:ascii="Century Gothic" w:cs="Century Gothic" w:eastAsia="Century Gothic" w:hAnsi="Century Gothic"/>
          <w:b w:val="1"/>
          <w:i w:val="0"/>
          <w:color w:val="000000"/>
          <w:sz w:val="30"/>
          <w:szCs w:val="30"/>
        </w:rPr>
      </w:pPr>
      <w:r w:rsidDel="00000000" w:rsidR="00000000" w:rsidRPr="00000000">
        <w:rPr>
          <w:rFonts w:ascii="Century Gothic" w:cs="Century Gothic" w:eastAsia="Century Gothic" w:hAnsi="Century Gothic"/>
          <w:b w:val="1"/>
          <w:i w:val="0"/>
          <w:color w:val="000000"/>
          <w:sz w:val="30"/>
          <w:szCs w:val="30"/>
          <w:rtl w:val="0"/>
        </w:rPr>
        <w:t xml:space="preserve">Actividad asincrónica.</w:t>
      </w:r>
    </w:p>
    <w:p w:rsidR="00000000" w:rsidDel="00000000" w:rsidP="00000000" w:rsidRDefault="00000000" w:rsidRPr="00000000" w14:paraId="0000000D">
      <w:pPr>
        <w:jc w:val="center"/>
        <w:rPr>
          <w:rFonts w:ascii="Century Gothic" w:cs="Century Gothic" w:eastAsia="Century Gothic" w:hAnsi="Century Gothic"/>
          <w:b w:val="1"/>
          <w:i w:val="0"/>
          <w:color w:val="000000"/>
          <w:sz w:val="30"/>
          <w:szCs w:val="30"/>
        </w:rPr>
      </w:pPr>
      <w:r w:rsidDel="00000000" w:rsidR="00000000" w:rsidRPr="00000000">
        <w:rPr>
          <w:rtl w:val="0"/>
        </w:rPr>
      </w:r>
    </w:p>
    <w:p w:rsidR="00000000" w:rsidDel="00000000" w:rsidP="00000000" w:rsidRDefault="00000000" w:rsidRPr="00000000" w14:paraId="0000000E">
      <w:pPr>
        <w:jc w:val="center"/>
        <w:rPr>
          <w:rFonts w:ascii="Century Gothic" w:cs="Century Gothic" w:eastAsia="Century Gothic" w:hAnsi="Century Gothic"/>
          <w:b w:val="1"/>
          <w:i w:val="0"/>
          <w:color w:val="000000"/>
          <w:sz w:val="30"/>
          <w:szCs w:val="30"/>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b w:val="0"/>
          <w:i w:val="0"/>
          <w:color w:val="000000"/>
          <w:sz w:val="26"/>
          <w:szCs w:val="26"/>
        </w:rPr>
      </w:pPr>
      <w:r w:rsidDel="00000000" w:rsidR="00000000" w:rsidRPr="00000000">
        <w:rPr>
          <w:rFonts w:ascii="Century Gothic" w:cs="Century Gothic" w:eastAsia="Century Gothic" w:hAnsi="Century Gothic"/>
          <w:b w:val="1"/>
          <w:i w:val="0"/>
          <w:color w:val="000000"/>
          <w:sz w:val="30"/>
          <w:szCs w:val="30"/>
          <w:rtl w:val="0"/>
        </w:rPr>
        <w:t xml:space="preserve">Propósito de la unidad de aprendizaje: </w:t>
      </w:r>
      <w:r w:rsidDel="00000000" w:rsidR="00000000" w:rsidRPr="00000000">
        <w:rPr>
          <w:rFonts w:ascii="Century Gothic" w:cs="Century Gothic" w:eastAsia="Century Gothic" w:hAnsi="Century Gothic"/>
          <w:b w:val="0"/>
          <w:i w:val="0"/>
          <w:color w:val="000000"/>
          <w:sz w:val="26"/>
          <w:szCs w:val="26"/>
          <w:rtl w:val="0"/>
        </w:rPr>
        <w:t xml:space="preserve">En esta unidad el estudiante conceptualizará las condiciones didácticas que favorecen el proceso de adquisición del lenguaje escrito y diseñará “situaciones didácticas fundamentales” para la alfabetización en el marco de las prácticas sociales del lenguaje y del acceso al conocimiento.</w:t>
      </w:r>
    </w:p>
    <w:p w:rsidR="00000000" w:rsidDel="00000000" w:rsidP="00000000" w:rsidRDefault="00000000" w:rsidRPr="00000000" w14:paraId="00000010">
      <w:pPr>
        <w:jc w:val="center"/>
        <w:rPr>
          <w:rFonts w:ascii="Century Gothic" w:cs="Century Gothic" w:eastAsia="Century Gothic" w:hAnsi="Century Gothic"/>
          <w:b w:val="0"/>
          <w:i w:val="0"/>
          <w:color w:val="000000"/>
          <w:sz w:val="26"/>
          <w:szCs w:val="26"/>
        </w:rPr>
      </w:pPr>
      <w:r w:rsidDel="00000000" w:rsidR="00000000" w:rsidRPr="00000000">
        <w:rPr>
          <w:rtl w:val="0"/>
        </w:rPr>
      </w:r>
    </w:p>
    <w:p w:rsidR="00000000" w:rsidDel="00000000" w:rsidP="00000000" w:rsidRDefault="00000000" w:rsidRPr="00000000" w14:paraId="00000011">
      <w:pPr>
        <w:jc w:val="center"/>
        <w:rPr>
          <w:rFonts w:ascii="Century Gothic" w:cs="Century Gothic" w:eastAsia="Century Gothic" w:hAnsi="Century Gothic"/>
          <w:b w:val="1"/>
          <w:i w:val="0"/>
          <w:color w:val="000000"/>
          <w:sz w:val="26"/>
          <w:szCs w:val="26"/>
        </w:rPr>
      </w:pPr>
      <w:r w:rsidDel="00000000" w:rsidR="00000000" w:rsidRPr="00000000">
        <w:rPr>
          <w:rFonts w:ascii="Century Gothic" w:cs="Century Gothic" w:eastAsia="Century Gothic" w:hAnsi="Century Gothic"/>
          <w:b w:val="1"/>
          <w:i w:val="0"/>
          <w:color w:val="000000"/>
          <w:sz w:val="26"/>
          <w:szCs w:val="26"/>
          <w:rtl w:val="0"/>
        </w:rPr>
        <w:t xml:space="preserve">11 de octubre del 2021.</w:t>
      </w:r>
    </w:p>
    <w:p w:rsidR="00000000" w:rsidDel="00000000" w:rsidP="00000000" w:rsidRDefault="00000000" w:rsidRPr="00000000" w14:paraId="00000012">
      <w:pPr>
        <w:jc w:val="center"/>
        <w:rPr>
          <w:rFonts w:ascii="Century Gothic" w:cs="Century Gothic" w:eastAsia="Century Gothic" w:hAnsi="Century Gothic"/>
          <w:b w:val="1"/>
          <w:i w:val="0"/>
          <w:color w:val="000000"/>
          <w:sz w:val="26"/>
          <w:szCs w:val="26"/>
        </w:rPr>
      </w:pPr>
      <w:r w:rsidDel="00000000" w:rsidR="00000000" w:rsidRPr="00000000">
        <w:rPr>
          <w:rFonts w:ascii="Century Gothic" w:cs="Century Gothic" w:eastAsia="Century Gothic" w:hAnsi="Century Gothic"/>
          <w:b w:val="1"/>
          <w:i w:val="0"/>
          <w:color w:val="000000"/>
          <w:sz w:val="26"/>
          <w:szCs w:val="26"/>
          <w:rtl w:val="0"/>
        </w:rPr>
        <w:t xml:space="preserve">Saltillo, Coahuila.</w:t>
      </w:r>
    </w:p>
    <w:p w:rsidR="00000000" w:rsidDel="00000000" w:rsidP="00000000" w:rsidRDefault="00000000" w:rsidRPr="00000000" w14:paraId="00000013">
      <w:pPr>
        <w:rPr>
          <w:rFonts w:ascii="Century Gothic" w:cs="Century Gothic" w:eastAsia="Century Gothic" w:hAnsi="Century Gothic"/>
          <w:b w:val="1"/>
          <w:i w:val="0"/>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1. ¿Cómo se construye una propuesta didáctica alfabetizadora sin caer en los aplicacionismos que revisaron en el curso “Lenguaje y Comunicación”?</w:t>
      </w:r>
      <w:r w:rsidDel="00000000" w:rsidR="00000000" w:rsidRPr="00000000">
        <w:rPr>
          <w:rtl w:val="0"/>
        </w:rPr>
      </w:r>
    </w:p>
    <w:p w:rsidR="00000000" w:rsidDel="00000000" w:rsidP="00000000" w:rsidRDefault="00000000" w:rsidRPr="00000000" w14:paraId="0000001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color w:val="000000"/>
          <w:sz w:val="24"/>
          <w:szCs w:val="24"/>
          <w:rtl w:val="0"/>
        </w:rPr>
        <w:t xml:space="preserve">Nació desde la práctica, al hacer la investigación. Las autoras</w:t>
      </w:r>
      <w:r w:rsidDel="00000000" w:rsidR="00000000" w:rsidRPr="00000000">
        <w:rPr>
          <w:rFonts w:ascii="Century Gothic" w:cs="Century Gothic" w:eastAsia="Century Gothic" w:hAnsi="Century Gothic"/>
          <w:b w:val="1"/>
          <w:color w:val="000000"/>
          <w:sz w:val="24"/>
          <w:szCs w:val="24"/>
          <w:rtl w:val="0"/>
        </w:rPr>
        <w:t xml:space="preserve"> </w:t>
      </w:r>
      <w:r w:rsidDel="00000000" w:rsidR="00000000" w:rsidRPr="00000000">
        <w:rPr>
          <w:rFonts w:ascii="Century Gothic" w:cs="Century Gothic" w:eastAsia="Century Gothic" w:hAnsi="Century Gothic"/>
          <w:sz w:val="24"/>
          <w:szCs w:val="24"/>
          <w:rtl w:val="0"/>
        </w:rPr>
        <w:t xml:space="preserve">pusieron en primer plano las ideas y modos de aprendizaje de los niños, las interacciones cognitivas entre ellos y también su participación en la cultura escrita. Los proyectos de enseñanza se caracterizan por incluir situaciones fundamentales como: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lectura y escritura a través del docente.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lectura y escritura de los niños por sí mismos. </w:t>
      </w:r>
    </w:p>
    <w:p w:rsidR="00000000" w:rsidDel="00000000" w:rsidP="00000000" w:rsidRDefault="00000000" w:rsidRPr="00000000" w14:paraId="00000017">
      <w:pPr>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2. Procesos por los que la investigación didáctica específica de la lengua escrita ha transitado.</w:t>
      </w:r>
    </w:p>
    <w:p w:rsidR="00000000" w:rsidDel="00000000" w:rsidP="00000000" w:rsidRDefault="00000000" w:rsidRPr="00000000" w14:paraId="00000018">
      <w:pPr>
        <w:rPr>
          <w:rFonts w:ascii="Century Gothic" w:cs="Century Gothic" w:eastAsia="Century Gothic" w:hAnsi="Century Gothic"/>
          <w:b w:val="1"/>
          <w:color w:val="000000"/>
          <w:sz w:val="24"/>
          <w:szCs w:val="24"/>
        </w:rPr>
      </w:pPr>
      <w:r w:rsidDel="00000000" w:rsidR="00000000" w:rsidRPr="00000000">
        <w:rPr>
          <w:rFonts w:ascii="Century Gothic" w:cs="Century Gothic" w:eastAsia="Century Gothic" w:hAnsi="Century Gothic"/>
          <w:sz w:val="24"/>
          <w:szCs w:val="24"/>
          <w:rtl w:val="0"/>
        </w:rPr>
        <w:t xml:space="preserve">La investigación didáctica puede ser “naturalista”, cuando estudia las relaciones entre enseñanza y aprendizaje tal como se dan en las aulas, sin que el investigador haya intervenido en la elaboración de la propuesta, o bien puede centrase en el estudio de proyectos de enseñanza elaborados por los investigadores o, cada vez más, producidos en conjunto por maestros e investigadores.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 parte del análisis del campo de restricciones sobre el cual se va a desarrollar la acción didáctica: qué tipo de escuela, su historia institucional, su historia de prácticas, su proyecto de enseñanza más global, etc. porque las diferentes ideas que impregnan las prácticas ya instituidas hacen que un nuevo proyecto de enseñanza encarne de maneras muy diferentes. Toda escuela tiene un proyecto de enseñanza o varios en tensión, implícitos o explícitos, y acuerdos sobre su proyecto formativo.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Tratar de entender en qué campo se va a insertar el nuevo proyecto para un o unos contenidos acotados es fundamental.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 indispensable pararse en una manera de entenderlo para después poder comprender de qué modo se modifica con la enseñanza y en el aprendizaje.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Entender los conceptos o ideas de los alumnos sobre aquello que se va a enseñar, las dificultades y obstáculos que van a encontrar para asimilarlo. Aquí la referencia a estudios psicolingüísticos es fundamental, pero a veces no alcanzan. En esos casos se realizan entrevistas o se desarrollan ciertas situaciones con algunos niños “en el margen” del aula o se analizan producciones o datos obtenidos de experiencias previas que no fueron planteadas como investigación.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Análisis de la enseñanza “usual” de ese o esos contenidos y de sus consecuencias no solo en la escuela que se va a estudiar sino en general. La idea es que la nueva puesta en aula se instala en prácticas anteriores que van a filtrar sus efectos a través de contratos ya aprendidos. En ese sentido, el diseño del proyecto de enseñanza tiene muy en cuenta cómo evitar consecuencias no deseadas, que alterarían el sentido del proyecto.</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b w:val="1"/>
          <w:color w:val="000000"/>
          <w:sz w:val="24"/>
          <w:szCs w:val="24"/>
          <w:rtl w:val="0"/>
        </w:rPr>
        <w:t xml:space="preserve">3. ¿Cómo se construye una propuesta didáctica alfabetizadora sin caer en los aplicacionismos?</w:t>
      </w:r>
      <w:r w:rsidDel="00000000" w:rsidR="00000000" w:rsidRPr="00000000">
        <w:rPr>
          <w:rFonts w:ascii="Century Gothic" w:cs="Century Gothic" w:eastAsia="Century Gothic" w:hAnsi="Century Gothic"/>
          <w:color w:val="000000"/>
          <w:sz w:val="24"/>
          <w:szCs w:val="24"/>
          <w:rtl w:val="0"/>
        </w:rPr>
        <w:t xml:space="preserve"> </w:t>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 trata de estudiar las situaciones, pero sin intención de generalización sino de construcción de conceptos que sean útiles para poder realizar más situaciones en distintos contextos. El propósito no es construir modelos de acción sino conceptos que son herramientas teóricas para orientar la acción en distintas aulas.</w:t>
      </w:r>
    </w:p>
    <w:p w:rsidR="00000000" w:rsidDel="00000000" w:rsidP="00000000" w:rsidRDefault="00000000" w:rsidRPr="00000000" w14:paraId="00000020">
      <w:pPr>
        <w:rPr>
          <w:rFonts w:ascii="Century Gothic" w:cs="Century Gothic" w:eastAsia="Century Gothic" w:hAnsi="Century Gothic"/>
          <w:color w:val="000000"/>
          <w:sz w:val="24"/>
          <w:szCs w:val="24"/>
        </w:rPr>
      </w:pPr>
      <w:r w:rsidDel="00000000" w:rsidR="00000000" w:rsidRPr="00000000">
        <w:rPr>
          <w:rFonts w:ascii="Century Gothic" w:cs="Century Gothic" w:eastAsia="Century Gothic" w:hAnsi="Century Gothic"/>
          <w:sz w:val="24"/>
          <w:szCs w:val="24"/>
          <w:rtl w:val="0"/>
        </w:rPr>
        <w:t xml:space="preserve">Estas propuestas son siempre hipótesis de trabajo y estudiar su desarrollo en el aula es la única manera de entender cómo se articulan enseñanza y aprendizaje, tanto en el caso de la alfabetización como en relación con otros contenidos.</w:t>
      </w:r>
      <w:r w:rsidDel="00000000" w:rsidR="00000000" w:rsidRPr="00000000">
        <w:rPr>
          <w:rtl w:val="0"/>
        </w:rPr>
      </w:r>
    </w:p>
    <w:tbl>
      <w:tblPr>
        <w:tblStyle w:val="Table1"/>
        <w:tblW w:w="10774.0" w:type="dxa"/>
        <w:jc w:val="left"/>
        <w:tblInd w:w="-85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3119"/>
        <w:gridCol w:w="2410"/>
        <w:gridCol w:w="2424"/>
        <w:gridCol w:w="2821"/>
        <w:tblGridChange w:id="0">
          <w:tblGrid>
            <w:gridCol w:w="3119"/>
            <w:gridCol w:w="2410"/>
            <w:gridCol w:w="2424"/>
            <w:gridCol w:w="2821"/>
          </w:tblGrid>
        </w:tblGridChange>
      </w:tblGrid>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a8d08d" w:val="clear"/>
            <w:vAlign w:val="center"/>
          </w:tcPr>
          <w:p w:rsidR="00000000" w:rsidDel="00000000" w:rsidP="00000000" w:rsidRDefault="00000000" w:rsidRPr="00000000" w14:paraId="00000021">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color w:val="000000"/>
                <w:rtl w:val="0"/>
              </w:rPr>
              <w:t xml:space="preserve"> </w:t>
            </w:r>
            <w:r w:rsidDel="00000000" w:rsidR="00000000" w:rsidRPr="00000000">
              <w:rPr>
                <w:rFonts w:ascii="Century Gothic" w:cs="Century Gothic" w:eastAsia="Century Gothic" w:hAnsi="Century Gothic"/>
                <w:b w:val="1"/>
                <w:color w:val="000000"/>
                <w:rtl w:val="0"/>
              </w:rPr>
              <w:t xml:space="preserve">Explicitación y uso</w:t>
              <w:br w:type="textWrapping"/>
              <w:t xml:space="preserve">de los aportes de</w:t>
              <w:br w:type="textWrapping"/>
              <w:t xml:space="preserve">las ciencias del</w:t>
              <w:br w:type="textWrapping"/>
              <w:t xml:space="preserve">lenguaje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e599" w:val="clear"/>
            <w:vAlign w:val="center"/>
          </w:tcPr>
          <w:p w:rsidR="00000000" w:rsidDel="00000000" w:rsidP="00000000" w:rsidRDefault="00000000" w:rsidRPr="00000000" w14:paraId="00000022">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Precauciones</w:t>
              <w:br w:type="textWrapping"/>
              <w:t xml:space="preserve">conceptuales para</w:t>
              <w:br w:type="textWrapping"/>
              <w:t xml:space="preserve">evitar el</w:t>
              <w:br w:type="textWrapping"/>
              <w:t xml:space="preserve">aplicacionismo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23">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Parámetros y</w:t>
              <w:br w:type="textWrapping"/>
              <w:t xml:space="preserve">consideraciones</w:t>
              <w:br w:type="textWrapping"/>
              <w:t xml:space="preserve">para diseñar y</w:t>
              <w:br w:type="textWrapping"/>
              <w:t xml:space="preserve">probar situaciones</w:t>
              <w:br w:type="textWrapping"/>
              <w:t xml:space="preserve">didácticas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7cbac" w:val="clear"/>
            <w:vAlign w:val="center"/>
          </w:tcPr>
          <w:p w:rsidR="00000000" w:rsidDel="00000000" w:rsidP="00000000" w:rsidRDefault="00000000" w:rsidRPr="00000000" w14:paraId="00000024">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Modos de respetar</w:t>
              <w:br w:type="textWrapping"/>
              <w:t xml:space="preserve">los procesos</w:t>
              <w:br w:type="textWrapping"/>
              <w:t xml:space="preserve">intelectuales de los</w:t>
              <w:br w:type="textWrapping"/>
              <w:t xml:space="preserve">niños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26">
            <w:pPr>
              <w:spacing w:after="0" w:line="240" w:lineRule="auto"/>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27">
            <w:pPr>
              <w:spacing w:after="0" w:line="240" w:lineRule="auto"/>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28">
            <w:pPr>
              <w:spacing w:after="0" w:line="240" w:lineRule="auto"/>
              <w:rPr>
                <w:rFonts w:ascii="Century Gothic" w:cs="Century Gothic" w:eastAsia="Century Gothic" w:hAnsi="Century Gothic"/>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29">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 queremos que todos los chicos avancen debemos tener en cuenta que son necesarias intervenciones diferentes para niños en diferentes momentos de la adquisición de la lectura</w:t>
            </w:r>
          </w:p>
        </w:tc>
        <w:tc>
          <w:tcPr>
            <w:shd w:fill="fff2cc" w:val="clear"/>
            <w:vAlign w:val="center"/>
          </w:tcPr>
          <w:p w:rsidR="00000000" w:rsidDel="00000000" w:rsidP="00000000" w:rsidRDefault="00000000" w:rsidRPr="00000000" w14:paraId="0000002A">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“Enseñanza no es igual a aprendizaje”, en este momento, ya no es una hipótesis o una postura opinable, es una comprobación, se enseña lo mismo a un grupo de chicos y distintos niños aprenden distintas cosas.</w:t>
            </w:r>
          </w:p>
        </w:tc>
        <w:tc>
          <w:tcPr>
            <w:shd w:fill="deebf6" w:val="clear"/>
            <w:vAlign w:val="center"/>
          </w:tcPr>
          <w:p w:rsidR="00000000" w:rsidDel="00000000" w:rsidP="00000000" w:rsidRDefault="00000000" w:rsidRPr="00000000" w14:paraId="0000002B">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 este modo, lo que va aportando la investigación y otros modos de construcción de conceptos didácticos son herramientas para dar clase, más allá de la clase que se está investigado.</w:t>
            </w:r>
          </w:p>
        </w:tc>
        <w:tc>
          <w:tcPr>
            <w:shd w:fill="fbe5d5" w:val="clear"/>
            <w:vAlign w:val="center"/>
          </w:tcPr>
          <w:p w:rsidR="00000000" w:rsidDel="00000000" w:rsidP="00000000" w:rsidRDefault="00000000" w:rsidRPr="00000000" w14:paraId="0000002C">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maestro reelabora el conocimiento didáctico y lo adecua a su estilo de trabajo, a su grupo concreto, a su contexto. los docentes se apropiarán de aquellos resultados de investigación que les ayuden a resolver problemas didácticos observables para ellos, que sean reutilizables en las condiciones de su lugar de trabajo cuya puesta en práctica parezca factible en el marco de las exigencias múltiples que se plantean en un aula.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2D">
            <w:pPr>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Cuando ya pueden producir escrituras distintas para palabras o enunciados distintos, empezamos a intervenir para que interpreten las partes de la palabra y establezcan relaciones entre la interpretación del todo y la de las partes, para que vayan tomando en cuenta que las diferencias entre las escrituras se vinculan con la pauta sonora del habla.</w:t>
            </w:r>
            <w:r w:rsidDel="00000000" w:rsidR="00000000" w:rsidRPr="00000000">
              <w:rPr>
                <w:rtl w:val="0"/>
              </w:rPr>
            </w:r>
          </w:p>
        </w:tc>
        <w:tc>
          <w:tcPr>
            <w:shd w:fill="fff2cc" w:val="clear"/>
            <w:vAlign w:val="center"/>
          </w:tcPr>
          <w:p w:rsidR="00000000" w:rsidDel="00000000" w:rsidP="00000000" w:rsidRDefault="00000000" w:rsidRPr="00000000" w14:paraId="0000002E">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pensar en estas intervenciones fueron cruciales los trabajos de Sofía Vernon porque mostraron el proceso de construcción de la correspondencia sonora en la transición entre los períodos presilábico y silábico, así como el rol de la escritura en ese proceso.</w:t>
            </w:r>
          </w:p>
        </w:tc>
        <w:tc>
          <w:tcPr>
            <w:shd w:fill="deebf6" w:val="clear"/>
            <w:vAlign w:val="center"/>
          </w:tcPr>
          <w:p w:rsidR="00000000" w:rsidDel="00000000" w:rsidP="00000000" w:rsidRDefault="00000000" w:rsidRPr="00000000" w14:paraId="0000002F">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Esto no sucede con todos al mismo tiempo y hay muchos que ingresan a primero más avanzados, vinculando ya las partes de lo escrito con partes de lo oral. Para los que aún no lo hacen, que pueden estar en nivel inicial o en primero, nuestra propuesta contempla una serie de situaciones y de intervenciones específicas orientadas a generar esta reflexión, que se realiza de manera sostenida hasta que todos puedan establecer relaciones entre partes de lo oral y de lo escrito. Con garabatos no se pueden hacer diferenciaciones; para producir escrituras diferenciadas en necesario tener un repertorio de marcas gráficas que algunos chicos no tienen en el inicio</w:t>
            </w:r>
          </w:p>
        </w:tc>
        <w:tc>
          <w:tcPr>
            <w:shd w:fill="fbe5d5" w:val="clear"/>
            <w:vAlign w:val="center"/>
          </w:tcPr>
          <w:p w:rsidR="00000000" w:rsidDel="00000000" w:rsidP="00000000" w:rsidRDefault="00000000" w:rsidRPr="00000000" w14:paraId="00000030">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condición para que esto suceda es que todos los chicos estén inmersos en prácticas de escritura genuinas en todo momento en el aula, cualquiera sea su nivel. Pero la inmersión no es suficiente, es apenas una condición. Algunas intervenciones son comunes a todos los chicos, pero otras son específicas para niños con posibilidades diferentes, esta es una diferencia importante con otras propuestas. Crear situaciones de escritura con sentido con intervenciones comunes a todos los chicos e intervenciones específicas para niños con distintas posibilidades de escritura.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2efd9" w:val="clear"/>
            <w:vAlign w:val="center"/>
          </w:tcPr>
          <w:p w:rsidR="00000000" w:rsidDel="00000000" w:rsidP="00000000" w:rsidRDefault="00000000" w:rsidRPr="00000000" w14:paraId="00000031">
            <w:pPr>
              <w:spacing w:after="0" w:line="240" w:lineRule="auto"/>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El lenguaje escrito, concepto que debemos a Claire Blanche-Benveniste y a Ana Teberosky, es la forma que adquiere el lenguaje en los distintos géneros y que es diferente al de la lengua oral coloquial.</w:t>
            </w:r>
            <w:r w:rsidDel="00000000" w:rsidR="00000000" w:rsidRPr="00000000">
              <w:rPr>
                <w:rtl w:val="0"/>
              </w:rPr>
            </w:r>
          </w:p>
        </w:tc>
        <w:tc>
          <w:tcPr>
            <w:shd w:fill="fff2cc" w:val="clear"/>
            <w:vAlign w:val="center"/>
          </w:tcPr>
          <w:p w:rsidR="00000000" w:rsidDel="00000000" w:rsidP="00000000" w:rsidRDefault="00000000" w:rsidRPr="00000000" w14:paraId="00000032">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lengua oral decimos, “tienes/tenés que poner unas tres cucharadas de harina para que se espese” y en lengua escrita es más probable encontrar “agregue la harina y revuelva hasta espesar”, ya que en otra parte del texto se explicita que son tres cucharadas.</w:t>
            </w:r>
          </w:p>
        </w:tc>
        <w:tc>
          <w:tcPr>
            <w:shd w:fill="deebf6" w:val="clear"/>
            <w:vAlign w:val="center"/>
          </w:tcPr>
          <w:p w:rsidR="00000000" w:rsidDel="00000000" w:rsidP="00000000" w:rsidRDefault="00000000" w:rsidRPr="00000000" w14:paraId="00000033">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fundamental que los chicos estén familiarizados con este tipo de formulaciones de lengua escrita no solo porque es la forma del lenguaje para escribir sino también porque al acercarse a los textos e intentar interpretar qué dice en la escritura, lo que tienen que anticipar son formulaciones de lengua escrita.</w:t>
            </w:r>
          </w:p>
        </w:tc>
        <w:tc>
          <w:tcPr>
            <w:shd w:fill="fbe5d5" w:val="clear"/>
            <w:vAlign w:val="center"/>
          </w:tcPr>
          <w:p w:rsidR="00000000" w:rsidDel="00000000" w:rsidP="00000000" w:rsidRDefault="00000000" w:rsidRPr="00000000" w14:paraId="00000034">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Eso les permite hacer anticipaciones “posibles” y buscar índices para corroborar, refutar o ajustar las anticipaciones.</w:t>
            </w:r>
          </w:p>
        </w:tc>
      </w:tr>
    </w:tbl>
    <w:p w:rsidR="00000000" w:rsidDel="00000000" w:rsidP="00000000" w:rsidRDefault="00000000" w:rsidRPr="00000000" w14:paraId="00000035">
      <w:pP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Los procesos formativos que logran producir algún impacto en las prácticas son aquellos que se desarrollan durante períodos prolongados, que ponen en primer plano el análisis de las clases e incluyen la planificación compartida y el acompañamiento en el aula.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Estas estrategias se articulan con otras -la discusión de material bibliográfico, el análisis de producciones infantiles, la escritura profesional, etc.- y es esta articulación la que va haciendo posible que los docentes construyan progresivamente herramientas teóricas productivas para interpretar la práctica y para re-orientarla considerando los aprendizajes de sus alumnos, los problemas cognitivos que enfrentan y las intervenciones que contribuyen a resolverlos. </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sz w:val="24"/>
          <w:szCs w:val="24"/>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Trabajar en el papel de los maestros como productores de conocimiento y el trabajo compartido entre docentes tanto dentro como fuera del aula.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Profundizar en el estudio de los procesos de formación.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Permite entender y construir conceptos didácticos que tengan potencia para poder constituirse en criterios de acción en el aula.</w:t>
      </w: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