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838"/>
        <w:tblW w:w="10348" w:type="dxa"/>
        <w:tblLook w:val="04A0" w:firstRow="1" w:lastRow="0" w:firstColumn="1" w:lastColumn="0" w:noHBand="0" w:noVBand="1"/>
      </w:tblPr>
      <w:tblGrid>
        <w:gridCol w:w="5111"/>
        <w:gridCol w:w="5237"/>
      </w:tblGrid>
      <w:tr w:rsidR="002750E2" w:rsidTr="00D53372">
        <w:trPr>
          <w:trHeight w:val="625"/>
        </w:trPr>
        <w:tc>
          <w:tcPr>
            <w:tcW w:w="5111" w:type="dxa"/>
            <w:shd w:val="clear" w:color="auto" w:fill="D9E2F3" w:themeFill="accent5" w:themeFillTint="33"/>
          </w:tcPr>
          <w:p w:rsidR="002750E2" w:rsidRPr="00FE6680" w:rsidRDefault="002750E2" w:rsidP="00D5337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E6680">
              <w:rPr>
                <w:rFonts w:ascii="Times New Roman" w:hAnsi="Times New Roman" w:cs="Times New Roman"/>
                <w:sz w:val="32"/>
              </w:rPr>
              <w:t xml:space="preserve">Lev </w:t>
            </w:r>
            <w:proofErr w:type="spellStart"/>
            <w:r w:rsidRPr="00FE6680">
              <w:rPr>
                <w:rFonts w:ascii="Times New Roman" w:hAnsi="Times New Roman" w:cs="Times New Roman"/>
                <w:sz w:val="32"/>
              </w:rPr>
              <w:t>Vygotski</w:t>
            </w:r>
            <w:proofErr w:type="spellEnd"/>
          </w:p>
        </w:tc>
        <w:tc>
          <w:tcPr>
            <w:tcW w:w="5237" w:type="dxa"/>
            <w:shd w:val="clear" w:color="auto" w:fill="D9E2F3" w:themeFill="accent5" w:themeFillTint="33"/>
          </w:tcPr>
          <w:p w:rsidR="002750E2" w:rsidRPr="00FE6680" w:rsidRDefault="002750E2" w:rsidP="00D5337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E6680">
              <w:rPr>
                <w:rFonts w:ascii="Times New Roman" w:hAnsi="Times New Roman" w:cs="Times New Roman"/>
                <w:sz w:val="32"/>
              </w:rPr>
              <w:t>Jean Piaget</w:t>
            </w:r>
          </w:p>
        </w:tc>
      </w:tr>
      <w:tr w:rsidR="002750E2" w:rsidTr="00D53372">
        <w:trPr>
          <w:trHeight w:val="1210"/>
        </w:trPr>
        <w:tc>
          <w:tcPr>
            <w:tcW w:w="5111" w:type="dxa"/>
          </w:tcPr>
          <w:p w:rsidR="002750E2" w:rsidRPr="00FE6680" w:rsidRDefault="002750E2" w:rsidP="00D53372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E6680">
              <w:rPr>
                <w:rFonts w:ascii="Arial" w:hAnsi="Arial" w:cs="Arial"/>
                <w:sz w:val="24"/>
              </w:rPr>
              <w:t xml:space="preserve">Lev </w:t>
            </w:r>
            <w:proofErr w:type="spellStart"/>
            <w:r w:rsidRPr="00FE6680">
              <w:rPr>
                <w:rFonts w:ascii="Arial" w:hAnsi="Arial" w:cs="Arial"/>
                <w:sz w:val="24"/>
              </w:rPr>
              <w:t>Semiónovich</w:t>
            </w:r>
            <w:proofErr w:type="spellEnd"/>
            <w:r w:rsidRPr="00FE66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E6680">
              <w:rPr>
                <w:rFonts w:ascii="Arial" w:hAnsi="Arial" w:cs="Arial"/>
                <w:sz w:val="24"/>
              </w:rPr>
              <w:t>Vygotski</w:t>
            </w:r>
            <w:proofErr w:type="spellEnd"/>
            <w:r w:rsidRPr="00FE668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(1896-1934) </w:t>
            </w:r>
            <w:r w:rsidRPr="00FE6680">
              <w:rPr>
                <w:rFonts w:ascii="Arial" w:hAnsi="Arial" w:cs="Arial"/>
                <w:sz w:val="24"/>
              </w:rPr>
              <w:t>fue un psicólogo ruso de origen judío que realizó importantísimas contribuciones al ámbito de la psicología del desarrollo.</w:t>
            </w:r>
          </w:p>
        </w:tc>
        <w:tc>
          <w:tcPr>
            <w:tcW w:w="5237" w:type="dxa"/>
          </w:tcPr>
          <w:p w:rsidR="002750E2" w:rsidRPr="002750E2" w:rsidRDefault="002750E2" w:rsidP="00D53372">
            <w:pPr>
              <w:pStyle w:val="Ttulo2"/>
              <w:shd w:val="clear" w:color="auto" w:fill="FCFCFC"/>
              <w:spacing w:before="0" w:beforeAutospacing="0" w:after="180" w:afterAutospacing="0" w:line="276" w:lineRule="auto"/>
              <w:textAlignment w:val="baseline"/>
              <w:rPr>
                <w:rFonts w:ascii="Arial" w:hAnsi="Arial" w:cs="Arial"/>
                <w:b w:val="0"/>
                <w:caps/>
                <w:color w:val="353E43"/>
                <w:sz w:val="24"/>
                <w:szCs w:val="24"/>
              </w:rPr>
            </w:pPr>
            <w:r w:rsidRPr="002750E2">
              <w:rPr>
                <w:rFonts w:ascii="Arial" w:hAnsi="Arial" w:cs="Arial"/>
                <w:b w:val="0"/>
                <w:sz w:val="24"/>
                <w:szCs w:val="24"/>
              </w:rPr>
              <w:t xml:space="preserve">Jean William Fritz Piaget </w:t>
            </w:r>
            <w:r w:rsidRPr="002750E2">
              <w:rPr>
                <w:rFonts w:ascii="Arial" w:hAnsi="Arial" w:cs="Arial"/>
                <w:b w:val="0"/>
                <w:sz w:val="24"/>
                <w:szCs w:val="24"/>
              </w:rPr>
              <w:t>(1896-1980)</w:t>
            </w:r>
            <w:r w:rsidRPr="002750E2">
              <w:rPr>
                <w:rFonts w:ascii="Arial" w:hAnsi="Arial" w:cs="Arial"/>
                <w:b w:val="0"/>
                <w:sz w:val="24"/>
                <w:szCs w:val="24"/>
              </w:rPr>
              <w:t xml:space="preserve"> fue un reconocido psicólogo, biólogo y epistemólogo de origen suizo. Desarrollo su tesis en torno al estudio del desarrollo psicológico en la infancia</w:t>
            </w:r>
          </w:p>
        </w:tc>
      </w:tr>
      <w:tr w:rsidR="002750E2" w:rsidTr="00D53372">
        <w:trPr>
          <w:trHeight w:val="592"/>
        </w:trPr>
        <w:tc>
          <w:tcPr>
            <w:tcW w:w="5111" w:type="dxa"/>
          </w:tcPr>
          <w:p w:rsidR="002750E2" w:rsidRDefault="004226F9" w:rsidP="00D53372">
            <w:pPr>
              <w:spacing w:line="276" w:lineRule="auto"/>
            </w:pP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En su teoría del desarrollo cognitivo señala que el hombre no es únicamente producto del medio ambiente, sino una construcción propia, un resultado paulatino de la interacción entre estos factores.</w:t>
            </w:r>
          </w:p>
        </w:tc>
        <w:tc>
          <w:tcPr>
            <w:tcW w:w="5237" w:type="dxa"/>
          </w:tcPr>
          <w:p w:rsidR="002750E2" w:rsidRDefault="004226F9" w:rsidP="00D53372">
            <w:pPr>
              <w:spacing w:line="276" w:lineRule="auto"/>
            </w:pP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La teoría Sociocultural se centra en la importancia del entorno social de los individuos, así como del lenguaje y la colaboración mutua para la adquisición y transmisión de cultura.</w:t>
            </w:r>
          </w:p>
        </w:tc>
      </w:tr>
      <w:tr w:rsidR="002750E2" w:rsidTr="00D53372">
        <w:trPr>
          <w:trHeight w:val="625"/>
        </w:trPr>
        <w:tc>
          <w:tcPr>
            <w:tcW w:w="5111" w:type="dxa"/>
          </w:tcPr>
          <w:p w:rsidR="002750E2" w:rsidRPr="004226F9" w:rsidRDefault="004226F9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CFCFC"/>
              </w:rPr>
            </w:pP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 xml:space="preserve">Diferenció cuatro periodos a través de los cuales se construyen las nociones, conceptos y operaciones lógico-formales: </w:t>
            </w:r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1.Etapa </w:t>
            </w:r>
            <w:proofErr w:type="spellStart"/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sensoriomotora</w:t>
            </w:r>
            <w:proofErr w:type="spellEnd"/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, de 0 a 2 años</w:t>
            </w:r>
            <w:r w:rsidRPr="004226F9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 xml:space="preserve">, </w:t>
            </w:r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2.Etap</w:t>
            </w:r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a </w:t>
            </w:r>
            <w:proofErr w:type="spellStart"/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preoperacional</w:t>
            </w:r>
            <w:proofErr w:type="spellEnd"/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, de 2 a 7 años</w:t>
            </w:r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, </w:t>
            </w:r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3. Etapa de las operac</w:t>
            </w:r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iones concretas, de 7 a 11 años</w:t>
            </w:r>
            <w:r w:rsidRPr="004226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226F9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4. Etapa de las operaciones formales, de 11 a 15 años</w:t>
            </w:r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237" w:type="dxa"/>
          </w:tcPr>
          <w:p w:rsidR="002750E2" w:rsidRDefault="001D428C" w:rsidP="00D53372">
            <w:pPr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U</w:t>
            </w: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no de sus más importantes preceptos es la zona de desarroll</w:t>
            </w:r>
            <w:r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o próximo, entendido esto como </w:t>
            </w: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 xml:space="preserve">la distancia entre el nivel real de desarrollo, determinado por la capacidad de </w:t>
            </w:r>
            <w:r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resolver independientemente un </w:t>
            </w: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problema y el nivel de desarrollo potencial, determinado a través de la guía de un adulto o en colaboración con un compañero más capaz. </w:t>
            </w:r>
          </w:p>
        </w:tc>
      </w:tr>
      <w:tr w:rsidR="002750E2" w:rsidTr="00D53372">
        <w:trPr>
          <w:trHeight w:val="625"/>
        </w:trPr>
        <w:tc>
          <w:tcPr>
            <w:tcW w:w="5111" w:type="dxa"/>
          </w:tcPr>
          <w:p w:rsidR="002750E2" w:rsidRPr="001D428C" w:rsidRDefault="001D428C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428C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Sigue una secuencia invariable, Todos los niños pasan por las cuatros etapas en el mismo orden (</w:t>
            </w:r>
            <w:proofErr w:type="spellStart"/>
            <w:r w:rsidRPr="001D428C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Sensoriomotora</w:t>
            </w:r>
            <w:proofErr w:type="spellEnd"/>
            <w:r w:rsidRPr="001D428C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 xml:space="preserve">, de 0 a 2 años; </w:t>
            </w:r>
            <w:proofErr w:type="spellStart"/>
            <w:r w:rsidRPr="001D428C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Preoperacional</w:t>
            </w:r>
            <w:proofErr w:type="spellEnd"/>
            <w:r w:rsidRPr="001D428C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, de 2 a 7 años; Operaciones concretas, de 7 a 11 años; Operaciones formales, de 11 a 15 años )</w:t>
            </w:r>
          </w:p>
        </w:tc>
        <w:tc>
          <w:tcPr>
            <w:tcW w:w="5237" w:type="dxa"/>
          </w:tcPr>
          <w:p w:rsidR="002750E2" w:rsidRDefault="001D428C" w:rsidP="00D53372">
            <w:pPr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C</w:t>
            </w:r>
            <w:r w:rsidRPr="00BA775F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onstituye a la vez un fundamento a favor de la inclusión de los alumnos con alguna necesidad educativa especial al entorno común y un referente fundamental al momento de diseñar las actividades en una secuencia didáctica.</w:t>
            </w:r>
          </w:p>
        </w:tc>
      </w:tr>
      <w:tr w:rsidR="002750E2" w:rsidTr="00D53372">
        <w:trPr>
          <w:trHeight w:val="592"/>
        </w:trPr>
        <w:tc>
          <w:tcPr>
            <w:tcW w:w="5111" w:type="dxa"/>
          </w:tcPr>
          <w:p w:rsidR="002750E2" w:rsidRPr="00D53372" w:rsidRDefault="00D53372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372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Consiste en colocar información y experiencias dentro de sistemas mentales y usarlas separada o integradamente.</w:t>
            </w:r>
            <w:r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 xml:space="preserve"> </w:t>
            </w:r>
            <w:r w:rsidRPr="00D53372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Es la condición que permite que el sujeto pueda ajustarse a los cambios en el medio.</w:t>
            </w:r>
          </w:p>
        </w:tc>
        <w:tc>
          <w:tcPr>
            <w:tcW w:w="5237" w:type="dxa"/>
          </w:tcPr>
          <w:p w:rsidR="002750E2" w:rsidRPr="00D53372" w:rsidRDefault="00D53372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372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Procesos psicológicos elementales y superiores:</w:t>
            </w:r>
            <w:r w:rsidRPr="00D53372">
              <w:rPr>
                <w:rFonts w:ascii="Arial" w:hAnsi="Arial" w:cs="Arial"/>
                <w:sz w:val="24"/>
                <w:szCs w:val="24"/>
                <w:shd w:val="clear" w:color="auto" w:fill="FCFCFC"/>
              </w:rPr>
              <w:t> Es la diferencia cualitativa entre las capacidades del ser humano y las del resto de los animales, incluidos los primates superiores.</w:t>
            </w:r>
          </w:p>
        </w:tc>
      </w:tr>
      <w:tr w:rsidR="002750E2" w:rsidTr="00D53372">
        <w:trPr>
          <w:trHeight w:val="592"/>
        </w:trPr>
        <w:tc>
          <w:tcPr>
            <w:tcW w:w="5111" w:type="dxa"/>
          </w:tcPr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i/>
              </w:rPr>
            </w:pPr>
            <w:r w:rsidRPr="00D53372">
              <w:rPr>
                <w:rStyle w:val="nfasis"/>
                <w:rFonts w:ascii="Arial" w:hAnsi="Arial" w:cs="Arial"/>
                <w:bCs/>
                <w:i w:val="0"/>
                <w:bdr w:val="none" w:sz="0" w:space="0" w:color="auto" w:frame="1"/>
              </w:rPr>
              <w:t>La adaptación consta de dos procesos básicos:</w:t>
            </w:r>
          </w:p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D53372">
              <w:rPr>
                <w:rStyle w:val="nfasis"/>
                <w:rFonts w:ascii="Arial" w:hAnsi="Arial" w:cs="Arial"/>
                <w:bCs/>
                <w:i w:val="0"/>
                <w:bdr w:val="none" w:sz="0" w:space="0" w:color="auto" w:frame="1"/>
              </w:rPr>
              <w:t>-</w:t>
            </w:r>
            <w:proofErr w:type="spellStart"/>
            <w:r w:rsidRPr="00D53372">
              <w:rPr>
                <w:rStyle w:val="nfasis"/>
                <w:rFonts w:ascii="Arial" w:hAnsi="Arial" w:cs="Arial"/>
                <w:bCs/>
                <w:i w:val="0"/>
                <w:bdr w:val="none" w:sz="0" w:space="0" w:color="auto" w:frame="1"/>
              </w:rPr>
              <w:t>Asimilacion</w:t>
            </w:r>
            <w:proofErr w:type="spellEnd"/>
            <w:r w:rsidRPr="00D53372">
              <w:rPr>
                <w:rStyle w:val="nfasis"/>
                <w:rFonts w:ascii="Arial" w:hAnsi="Arial" w:cs="Arial"/>
                <w:bCs/>
                <w:i w:val="0"/>
                <w:bdr w:val="none" w:sz="0" w:space="0" w:color="auto" w:frame="1"/>
              </w:rPr>
              <w:t>:</w:t>
            </w:r>
            <w:r w:rsidRPr="00D53372">
              <w:rPr>
                <w:rStyle w:val="Textoennegrita"/>
                <w:rFonts w:ascii="Arial" w:hAnsi="Arial" w:cs="Arial"/>
                <w:bdr w:val="none" w:sz="0" w:space="0" w:color="auto" w:frame="1"/>
              </w:rPr>
              <w:t> </w:t>
            </w:r>
            <w:r w:rsidRPr="00D53372">
              <w:rPr>
                <w:rFonts w:ascii="Arial" w:hAnsi="Arial" w:cs="Arial"/>
              </w:rPr>
              <w:t>Incorporación de un elemento a una estructura preestablecida.</w:t>
            </w:r>
          </w:p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D53372">
              <w:rPr>
                <w:rStyle w:val="nfasis"/>
                <w:rFonts w:ascii="Arial" w:hAnsi="Arial" w:cs="Arial"/>
                <w:bCs/>
                <w:i w:val="0"/>
                <w:bdr w:val="none" w:sz="0" w:space="0" w:color="auto" w:frame="1"/>
              </w:rPr>
              <w:t>-Acomodación:</w:t>
            </w:r>
            <w:r w:rsidRPr="00D53372">
              <w:rPr>
                <w:rStyle w:val="Textoennegrita"/>
                <w:rFonts w:ascii="Arial" w:hAnsi="Arial" w:cs="Arial"/>
                <w:bdr w:val="none" w:sz="0" w:space="0" w:color="auto" w:frame="1"/>
              </w:rPr>
              <w:t> </w:t>
            </w:r>
            <w:r w:rsidRPr="00D53372">
              <w:rPr>
                <w:rFonts w:ascii="Arial" w:hAnsi="Arial" w:cs="Arial"/>
              </w:rPr>
              <w:t>Modificación en la estructura para ajustarse a las características de la nueva información.</w:t>
            </w:r>
          </w:p>
          <w:p w:rsidR="002750E2" w:rsidRPr="00D53372" w:rsidRDefault="002750E2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7" w:type="dxa"/>
          </w:tcPr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D53372">
              <w:rPr>
                <w:rFonts w:ascii="Arial" w:hAnsi="Arial" w:cs="Arial"/>
              </w:rPr>
              <w:t>Las funciones mentales superiores aparecen dos veces en la vida de una persona:</w:t>
            </w:r>
          </w:p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D53372">
              <w:rPr>
                <w:rFonts w:ascii="Arial" w:hAnsi="Arial" w:cs="Arial"/>
              </w:rPr>
              <w:t xml:space="preserve">1. En las actividades colectivas, o sociales, como funciones </w:t>
            </w:r>
            <w:proofErr w:type="spellStart"/>
            <w:r w:rsidRPr="00D53372">
              <w:rPr>
                <w:rFonts w:ascii="Arial" w:hAnsi="Arial" w:cs="Arial"/>
              </w:rPr>
              <w:t>interpsíquicas</w:t>
            </w:r>
            <w:proofErr w:type="spellEnd"/>
            <w:r w:rsidRPr="00D53372">
              <w:rPr>
                <w:rFonts w:ascii="Arial" w:hAnsi="Arial" w:cs="Arial"/>
              </w:rPr>
              <w:t>.</w:t>
            </w:r>
          </w:p>
          <w:p w:rsidR="00D53372" w:rsidRPr="00D53372" w:rsidRDefault="00D53372" w:rsidP="00D53372">
            <w:pPr>
              <w:pStyle w:val="NormalWeb"/>
              <w:shd w:val="clear" w:color="auto" w:fill="FCFCFC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D53372">
              <w:rPr>
                <w:rFonts w:ascii="Arial" w:hAnsi="Arial" w:cs="Arial"/>
              </w:rPr>
              <w:t xml:space="preserve">2. Y en actividades individuales, como propiedades internas del pensamiento, como funciones </w:t>
            </w:r>
            <w:proofErr w:type="spellStart"/>
            <w:r w:rsidRPr="00D53372">
              <w:rPr>
                <w:rFonts w:ascii="Arial" w:hAnsi="Arial" w:cs="Arial"/>
              </w:rPr>
              <w:t>intrapsíquicas</w:t>
            </w:r>
            <w:proofErr w:type="spellEnd"/>
            <w:r w:rsidRPr="00D53372">
              <w:rPr>
                <w:rFonts w:ascii="Arial" w:hAnsi="Arial" w:cs="Arial"/>
              </w:rPr>
              <w:t>.</w:t>
            </w:r>
          </w:p>
          <w:p w:rsidR="002750E2" w:rsidRPr="00D53372" w:rsidRDefault="002750E2" w:rsidP="00D53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372" w:rsidRPr="00D53372" w:rsidRDefault="00D53372" w:rsidP="00D53372">
      <w:pPr>
        <w:jc w:val="center"/>
        <w:rPr>
          <w:rFonts w:ascii="FrankRuehl" w:hAnsi="FrankRuehl" w:cs="FrankRuehl"/>
          <w:color w:val="000000"/>
          <w:sz w:val="40"/>
        </w:rPr>
      </w:pPr>
      <w:r w:rsidRPr="00D53372">
        <w:rPr>
          <w:rFonts w:ascii="FrankRuehl" w:hAnsi="FrankRuehl" w:cs="FrankRuehl"/>
          <w:color w:val="000000"/>
          <w:sz w:val="40"/>
        </w:rPr>
        <w:t>T</w:t>
      </w:r>
      <w:r w:rsidRPr="00D53372">
        <w:rPr>
          <w:rFonts w:ascii="FrankRuehl" w:hAnsi="FrankRuehl" w:cs="FrankRuehl"/>
          <w:color w:val="000000"/>
          <w:sz w:val="40"/>
        </w:rPr>
        <w:t xml:space="preserve">eorías de Jean Piaget y Lev </w:t>
      </w:r>
      <w:proofErr w:type="spellStart"/>
      <w:r w:rsidRPr="00D53372">
        <w:rPr>
          <w:rFonts w:ascii="FrankRuehl" w:hAnsi="FrankRuehl" w:cs="FrankRuehl"/>
          <w:color w:val="000000"/>
          <w:sz w:val="40"/>
        </w:rPr>
        <w:t>Vygoski</w:t>
      </w:r>
      <w:bookmarkStart w:id="0" w:name="_GoBack"/>
      <w:bookmarkEnd w:id="0"/>
      <w:proofErr w:type="spellEnd"/>
    </w:p>
    <w:sectPr w:rsidR="00D53372" w:rsidRPr="00D53372" w:rsidSect="00D5337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760E4"/>
    <w:multiLevelType w:val="hybridMultilevel"/>
    <w:tmpl w:val="E17CF34E"/>
    <w:lvl w:ilvl="0" w:tplc="C0AAC0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91"/>
    <w:rsid w:val="001C5152"/>
    <w:rsid w:val="001D428C"/>
    <w:rsid w:val="002750E2"/>
    <w:rsid w:val="002E6863"/>
    <w:rsid w:val="003908E0"/>
    <w:rsid w:val="004226F9"/>
    <w:rsid w:val="005E4471"/>
    <w:rsid w:val="005E471F"/>
    <w:rsid w:val="007D5A91"/>
    <w:rsid w:val="00A4059B"/>
    <w:rsid w:val="00BA775F"/>
    <w:rsid w:val="00C00207"/>
    <w:rsid w:val="00C767A0"/>
    <w:rsid w:val="00D53372"/>
    <w:rsid w:val="00E950D5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84A4"/>
  <w15:chartTrackingRefBased/>
  <w15:docId w15:val="{5B769C4F-DC99-43D7-B8DB-D690C25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75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950D5"/>
    <w:rPr>
      <w:b/>
      <w:bCs/>
    </w:rPr>
  </w:style>
  <w:style w:type="paragraph" w:styleId="NormalWeb">
    <w:name w:val="Normal (Web)"/>
    <w:basedOn w:val="Normal"/>
    <w:uiPriority w:val="99"/>
    <w:unhideWhenUsed/>
    <w:rsid w:val="00C0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0020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750E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3908E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53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1</cp:revision>
  <dcterms:created xsi:type="dcterms:W3CDTF">2021-10-15T17:11:00Z</dcterms:created>
  <dcterms:modified xsi:type="dcterms:W3CDTF">2021-10-16T02:36:00Z</dcterms:modified>
</cp:coreProperties>
</file>