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07"/>
        <w:gridCol w:w="2529"/>
        <w:gridCol w:w="3041"/>
        <w:gridCol w:w="2305"/>
        <w:gridCol w:w="2914"/>
      </w:tblGrid>
      <w:tr w:rsidR="00086833" w14:paraId="36F36CB1" w14:textId="77777777" w:rsidTr="00592E19">
        <w:tc>
          <w:tcPr>
            <w:tcW w:w="2207" w:type="dxa"/>
          </w:tcPr>
          <w:p w14:paraId="0DC31A62" w14:textId="60F694C4" w:rsidR="00086833" w:rsidRPr="003E1344" w:rsidRDefault="00086833" w:rsidP="00086833">
            <w:pPr>
              <w:jc w:val="center"/>
              <w:rPr>
                <w:rFonts w:ascii="Rockwell Extra Bold" w:hAnsi="Rockwell Extra Bold"/>
                <w:b/>
                <w:bCs/>
                <w:sz w:val="20"/>
              </w:rPr>
            </w:pPr>
          </w:p>
        </w:tc>
        <w:tc>
          <w:tcPr>
            <w:tcW w:w="2529" w:type="dxa"/>
          </w:tcPr>
          <w:p w14:paraId="10D7D947" w14:textId="68776E72" w:rsidR="00086833" w:rsidRPr="003E1344" w:rsidRDefault="00086833" w:rsidP="00086833">
            <w:pPr>
              <w:jc w:val="center"/>
              <w:rPr>
                <w:rFonts w:ascii="Rockwell Extra Bold" w:hAnsi="Rockwell Extra Bold"/>
                <w:b/>
                <w:bCs/>
                <w:sz w:val="20"/>
              </w:rPr>
            </w:pPr>
            <w:r w:rsidRPr="003E1344">
              <w:rPr>
                <w:rFonts w:ascii="Rockwell Extra Bold" w:hAnsi="Rockwell Extra Bold"/>
                <w:b/>
                <w:bCs/>
                <w:sz w:val="20"/>
              </w:rPr>
              <w:t>NEWTON</w:t>
            </w:r>
          </w:p>
        </w:tc>
        <w:tc>
          <w:tcPr>
            <w:tcW w:w="3041" w:type="dxa"/>
          </w:tcPr>
          <w:p w14:paraId="43B72AB2" w14:textId="37C629B5" w:rsidR="00086833" w:rsidRPr="003E1344" w:rsidRDefault="00086833" w:rsidP="00086833">
            <w:pPr>
              <w:jc w:val="center"/>
              <w:rPr>
                <w:rFonts w:ascii="Rockwell Extra Bold" w:hAnsi="Rockwell Extra Bold"/>
                <w:b/>
                <w:bCs/>
                <w:sz w:val="20"/>
              </w:rPr>
            </w:pPr>
            <w:r w:rsidRPr="003E1344">
              <w:rPr>
                <w:rFonts w:ascii="Rockwell Extra Bold" w:hAnsi="Rockwell Extra Bold"/>
                <w:b/>
                <w:bCs/>
                <w:sz w:val="20"/>
              </w:rPr>
              <w:t>PASTEUR</w:t>
            </w:r>
          </w:p>
        </w:tc>
        <w:tc>
          <w:tcPr>
            <w:tcW w:w="2305" w:type="dxa"/>
          </w:tcPr>
          <w:p w14:paraId="64EDC774" w14:textId="509B0868" w:rsidR="00086833" w:rsidRPr="003E1344" w:rsidRDefault="00086833" w:rsidP="00086833">
            <w:pPr>
              <w:jc w:val="center"/>
              <w:rPr>
                <w:rFonts w:ascii="Rockwell Extra Bold" w:hAnsi="Rockwell Extra Bold"/>
                <w:b/>
                <w:bCs/>
                <w:sz w:val="20"/>
              </w:rPr>
            </w:pPr>
            <w:r w:rsidRPr="003E1344">
              <w:rPr>
                <w:rFonts w:ascii="Rockwell Extra Bold" w:hAnsi="Rockwell Extra Bold"/>
                <w:b/>
                <w:bCs/>
                <w:sz w:val="20"/>
              </w:rPr>
              <w:t>DARWIN</w:t>
            </w:r>
          </w:p>
        </w:tc>
        <w:tc>
          <w:tcPr>
            <w:tcW w:w="2914" w:type="dxa"/>
          </w:tcPr>
          <w:p w14:paraId="11099059" w14:textId="50E4F605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b/>
                <w:bCs/>
                <w:sz w:val="20"/>
              </w:rPr>
              <w:t>EINSTEIN</w:t>
            </w:r>
          </w:p>
        </w:tc>
      </w:tr>
      <w:tr w:rsidR="00086833" w:rsidRPr="000E1F81" w14:paraId="078A0455" w14:textId="77777777" w:rsidTr="00592E19">
        <w:trPr>
          <w:trHeight w:val="1975"/>
        </w:trPr>
        <w:tc>
          <w:tcPr>
            <w:tcW w:w="2207" w:type="dxa"/>
          </w:tcPr>
          <w:p w14:paraId="339D8B48" w14:textId="015280D8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Naturaleza de la ciencia</w:t>
            </w:r>
          </w:p>
        </w:tc>
        <w:tc>
          <w:tcPr>
            <w:tcW w:w="2529" w:type="dxa"/>
          </w:tcPr>
          <w:p w14:paraId="16437FAF" w14:textId="51E1EE5A" w:rsidR="00272BA5" w:rsidRPr="003E1344" w:rsidRDefault="00272BA5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Física</w:t>
            </w:r>
          </w:p>
          <w:p w14:paraId="50D1EC81" w14:textId="581C11F5" w:rsidR="00272BA5" w:rsidRPr="003E1344" w:rsidRDefault="00272BA5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Teología</w:t>
            </w:r>
          </w:p>
          <w:p w14:paraId="73DD0759" w14:textId="70DF2E34" w:rsidR="00086833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M</w:t>
            </w:r>
            <w:r w:rsidR="00272BA5" w:rsidRPr="003E1344">
              <w:rPr>
                <w:rFonts w:ascii="Rockwell Extra Bold" w:hAnsi="Rockwell Extra Bold"/>
                <w:sz w:val="20"/>
              </w:rPr>
              <w:t xml:space="preserve">atemáticas </w:t>
            </w:r>
          </w:p>
          <w:p w14:paraId="2E900564" w14:textId="1464708A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Alquimia</w:t>
            </w:r>
          </w:p>
          <w:p w14:paraId="3A0EB437" w14:textId="77777777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</w:p>
          <w:p w14:paraId="78081631" w14:textId="77777777" w:rsidR="00272BA5" w:rsidRPr="003E1344" w:rsidRDefault="00272BA5" w:rsidP="00086833">
            <w:pPr>
              <w:rPr>
                <w:rFonts w:ascii="Rockwell Extra Bold" w:hAnsi="Rockwell Extra Bold"/>
                <w:sz w:val="20"/>
              </w:rPr>
            </w:pPr>
          </w:p>
          <w:p w14:paraId="38F8F261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163CD347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3DF51FD9" w14:textId="41773BC5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</w:tc>
        <w:tc>
          <w:tcPr>
            <w:tcW w:w="3041" w:type="dxa"/>
          </w:tcPr>
          <w:p w14:paraId="10B51566" w14:textId="1B00A59D" w:rsidR="003D4EED" w:rsidRDefault="003D4EED" w:rsidP="00086833">
            <w:pPr>
              <w:rPr>
                <w:rFonts w:ascii="Rockwell Extra Bold" w:hAnsi="Rockwell Extra Bold"/>
                <w:sz w:val="20"/>
              </w:rPr>
            </w:pPr>
          </w:p>
          <w:p w14:paraId="2168C48E" w14:textId="77777777" w:rsidR="003D4EED" w:rsidRDefault="003D4EED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Matemático</w:t>
            </w:r>
          </w:p>
          <w:p w14:paraId="51908619" w14:textId="77777777" w:rsidR="003D4EED" w:rsidRDefault="003D4EED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Doctor en ciencias</w:t>
            </w:r>
          </w:p>
          <w:p w14:paraId="7FD3A7BD" w14:textId="311D58C3" w:rsidR="003D4EED" w:rsidRPr="003E1344" w:rsidRDefault="003D4EED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(</w:t>
            </w:r>
            <w:proofErr w:type="spellStart"/>
            <w:r>
              <w:rPr>
                <w:rFonts w:ascii="Rockwell Extra Bold" w:hAnsi="Rockwell Extra Bold"/>
                <w:sz w:val="20"/>
              </w:rPr>
              <w:t>Ficica-quimica</w:t>
            </w:r>
            <w:proofErr w:type="spellEnd"/>
            <w:r>
              <w:rPr>
                <w:rFonts w:ascii="Rockwell Extra Bold" w:hAnsi="Rockwell Extra Bold"/>
                <w:sz w:val="20"/>
              </w:rPr>
              <w:t>)</w:t>
            </w:r>
          </w:p>
        </w:tc>
        <w:tc>
          <w:tcPr>
            <w:tcW w:w="2305" w:type="dxa"/>
          </w:tcPr>
          <w:p w14:paraId="76DF187D" w14:textId="77777777" w:rsidR="000E1F81" w:rsidRPr="000E1F81" w:rsidRDefault="000E1F81" w:rsidP="00086833">
            <w:pPr>
              <w:rPr>
                <w:rFonts w:ascii="Rockwell Extra Bold" w:hAnsi="Rockwell Extra Bold"/>
                <w:sz w:val="20"/>
                <w:lang w:val="en-US"/>
              </w:rPr>
            </w:pPr>
            <w:r w:rsidRPr="000E1F81">
              <w:rPr>
                <w:rFonts w:ascii="Rockwell Extra Bold" w:hAnsi="Rockwell Extra Bold"/>
                <w:sz w:val="20"/>
                <w:lang w:val="en-US"/>
              </w:rPr>
              <w:t xml:space="preserve">Master of arts </w:t>
            </w:r>
          </w:p>
          <w:p w14:paraId="7E3A01F5" w14:textId="77777777" w:rsidR="000E1F81" w:rsidRPr="000E1F81" w:rsidRDefault="000E1F81" w:rsidP="00086833">
            <w:pPr>
              <w:rPr>
                <w:rFonts w:ascii="Rockwell Extra Bold" w:hAnsi="Rockwell Extra Bold"/>
                <w:sz w:val="20"/>
                <w:lang w:val="en-US"/>
              </w:rPr>
            </w:pPr>
            <w:proofErr w:type="spellStart"/>
            <w:r w:rsidRPr="000E1F81">
              <w:rPr>
                <w:rFonts w:ascii="Rockwell Extra Bold" w:hAnsi="Rockwell Extra Bold"/>
                <w:sz w:val="20"/>
                <w:lang w:val="en-US"/>
              </w:rPr>
              <w:t>Legum</w:t>
            </w:r>
            <w:proofErr w:type="spellEnd"/>
            <w:r w:rsidRPr="000E1F81">
              <w:rPr>
                <w:rFonts w:ascii="Rockwell Extra Bold" w:hAnsi="Rockwell Extra Bold"/>
                <w:sz w:val="20"/>
                <w:lang w:val="en-US"/>
              </w:rPr>
              <w:t xml:space="preserve"> doctor</w:t>
            </w:r>
          </w:p>
          <w:p w14:paraId="06B728B6" w14:textId="77777777" w:rsidR="000E1F81" w:rsidRPr="000E1F81" w:rsidRDefault="000E1F81" w:rsidP="00086833">
            <w:pPr>
              <w:rPr>
                <w:rFonts w:ascii="Rockwell Extra Bold" w:hAnsi="Rockwell Extra Bold"/>
                <w:sz w:val="20"/>
                <w:lang w:val="en-US"/>
              </w:rPr>
            </w:pPr>
            <w:proofErr w:type="spellStart"/>
            <w:r w:rsidRPr="000E1F81">
              <w:rPr>
                <w:rFonts w:ascii="Rockwell Extra Bold" w:hAnsi="Rockwell Extra Bold"/>
                <w:sz w:val="20"/>
                <w:lang w:val="en-US"/>
              </w:rPr>
              <w:t>Geólogo</w:t>
            </w:r>
            <w:proofErr w:type="spellEnd"/>
            <w:r w:rsidRPr="000E1F81">
              <w:rPr>
                <w:rFonts w:ascii="Rockwell Extra Bold" w:hAnsi="Rockwell Extra Bold"/>
                <w:sz w:val="20"/>
                <w:lang w:val="en-US"/>
              </w:rPr>
              <w:t xml:space="preserve"> </w:t>
            </w:r>
          </w:p>
          <w:p w14:paraId="43BFB424" w14:textId="2AFCC817" w:rsidR="000E1F81" w:rsidRDefault="000E1F81" w:rsidP="00086833">
            <w:pPr>
              <w:rPr>
                <w:rFonts w:ascii="Rockwell Extra Bold" w:hAnsi="Rockwell Extra Bold"/>
                <w:sz w:val="20"/>
                <w:lang w:val="en-US"/>
              </w:rPr>
            </w:pPr>
            <w:proofErr w:type="spellStart"/>
            <w:r>
              <w:rPr>
                <w:rFonts w:ascii="Rockwell Extra Bold" w:hAnsi="Rockwell Extra Bold"/>
                <w:sz w:val="20"/>
                <w:lang w:val="en-US"/>
              </w:rPr>
              <w:t>Escritor</w:t>
            </w:r>
            <w:proofErr w:type="spellEnd"/>
          </w:p>
          <w:p w14:paraId="75D6EAAE" w14:textId="4BC44609" w:rsidR="000E1F81" w:rsidRPr="000E1F81" w:rsidRDefault="000E1F81" w:rsidP="00086833">
            <w:pPr>
              <w:rPr>
                <w:rFonts w:ascii="Rockwell Extra Bold" w:hAnsi="Rockwell Extra Bold"/>
                <w:sz w:val="20"/>
                <w:lang w:val="en-US"/>
              </w:rPr>
            </w:pPr>
          </w:p>
        </w:tc>
        <w:tc>
          <w:tcPr>
            <w:tcW w:w="2914" w:type="dxa"/>
          </w:tcPr>
          <w:p w14:paraId="50F5FA23" w14:textId="370760A2" w:rsidR="00086833" w:rsidRPr="000E1F81" w:rsidRDefault="000E1F81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D</w:t>
            </w:r>
            <w:r w:rsidRPr="000E1F81">
              <w:rPr>
                <w:rFonts w:ascii="Rockwell Extra Bold" w:hAnsi="Rockwell Extra Bold"/>
                <w:sz w:val="20"/>
              </w:rPr>
              <w:t>octorado en Física y Doctor en Filosofía</w:t>
            </w:r>
          </w:p>
        </w:tc>
      </w:tr>
      <w:tr w:rsidR="00086833" w14:paraId="5E86853F" w14:textId="77777777" w:rsidTr="00592E19">
        <w:tc>
          <w:tcPr>
            <w:tcW w:w="2207" w:type="dxa"/>
          </w:tcPr>
          <w:p w14:paraId="54D4EEC5" w14:textId="04EDB636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Perspectiva</w:t>
            </w:r>
          </w:p>
        </w:tc>
        <w:tc>
          <w:tcPr>
            <w:tcW w:w="2529" w:type="dxa"/>
          </w:tcPr>
          <w:p w14:paraId="337A00D8" w14:textId="34F9E38F" w:rsidR="00086833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Hombre de ciencia</w:t>
            </w:r>
          </w:p>
          <w:p w14:paraId="719BC202" w14:textId="48999757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Para él no había religión</w:t>
            </w:r>
          </w:p>
          <w:p w14:paraId="474FB381" w14:textId="55D3069F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ya que él creía en lo que el creaba.</w:t>
            </w:r>
          </w:p>
          <w:p w14:paraId="2E4998BE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2E5A891C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07D8D6C2" w14:textId="58757D73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</w:tc>
        <w:tc>
          <w:tcPr>
            <w:tcW w:w="3041" w:type="dxa"/>
          </w:tcPr>
          <w:p w14:paraId="24B38621" w14:textId="2FE40C2E" w:rsidR="00086833" w:rsidRPr="003E1344" w:rsidRDefault="003D4EED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Hizo aportaciones a la medicina científica</w:t>
            </w:r>
            <w:r w:rsidR="000E1F81">
              <w:rPr>
                <w:rFonts w:ascii="Rockwell Extra Bold" w:hAnsi="Rockwell Extra Bold"/>
                <w:sz w:val="20"/>
              </w:rPr>
              <w:t xml:space="preserve"> y aporto aún más a remedios para infecciones contagiosas y tratamientos.</w:t>
            </w:r>
          </w:p>
        </w:tc>
        <w:tc>
          <w:tcPr>
            <w:tcW w:w="2305" w:type="dxa"/>
          </w:tcPr>
          <w:p w14:paraId="162D5591" w14:textId="33037D1F" w:rsidR="00086833" w:rsidRPr="003E1344" w:rsidRDefault="000E1F81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Realizo exhaustivas investigaciones geológicas y discutió sus ideas con naturalistas.</w:t>
            </w:r>
          </w:p>
        </w:tc>
        <w:tc>
          <w:tcPr>
            <w:tcW w:w="2914" w:type="dxa"/>
          </w:tcPr>
          <w:p w14:paraId="64384A48" w14:textId="76B8B634" w:rsidR="00086833" w:rsidRPr="003E1344" w:rsidRDefault="00592E19" w:rsidP="00086833">
            <w:pPr>
              <w:rPr>
                <w:rFonts w:ascii="Rockwell Extra Bold" w:hAnsi="Rockwell Extra Bold"/>
                <w:sz w:val="20"/>
              </w:rPr>
            </w:pPr>
            <w:r w:rsidRPr="00592E19">
              <w:rPr>
                <w:rFonts w:ascii="Rockwell Extra Bold" w:hAnsi="Rockwell Extra Bold"/>
                <w:sz w:val="20"/>
              </w:rPr>
              <w:t xml:space="preserve">Einstein se convirtió en un icono popular de la ciencia mundialmente famoso, un privilegio al alcance de muy pocos </w:t>
            </w:r>
            <w:r>
              <w:rPr>
                <w:rFonts w:ascii="Rockwell Extra Bold" w:hAnsi="Rockwell Extra Bold"/>
                <w:sz w:val="20"/>
              </w:rPr>
              <w:t>científicos. Por sus e</w:t>
            </w:r>
            <w:r w:rsidRPr="00592E19">
              <w:rPr>
                <w:rFonts w:ascii="Rockwell Extra Bold" w:hAnsi="Rockwell Extra Bold"/>
                <w:sz w:val="20"/>
              </w:rPr>
              <w:t>xplicaciones sobre el efecto fotoeléctrico</w:t>
            </w:r>
            <w:r>
              <w:rPr>
                <w:rFonts w:ascii="Rockwell Extra Bold" w:hAnsi="Rockwell Extra Bold"/>
                <w:sz w:val="20"/>
              </w:rPr>
              <w:t xml:space="preserve"> </w:t>
            </w:r>
            <w:r w:rsidRPr="00592E19">
              <w:rPr>
                <w:rFonts w:ascii="Rockwell Extra Bold" w:hAnsi="Rockwell Extra Bold"/>
                <w:sz w:val="20"/>
              </w:rPr>
              <w:t>obtuvo el Premio Nobel de Física</w:t>
            </w:r>
          </w:p>
        </w:tc>
      </w:tr>
      <w:tr w:rsidR="00086833" w14:paraId="3680CC9B" w14:textId="77777777" w:rsidTr="00592E19">
        <w:tc>
          <w:tcPr>
            <w:tcW w:w="2207" w:type="dxa"/>
          </w:tcPr>
          <w:p w14:paraId="69B29A99" w14:textId="2DED724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Epistemología</w:t>
            </w:r>
          </w:p>
        </w:tc>
        <w:tc>
          <w:tcPr>
            <w:tcW w:w="2529" w:type="dxa"/>
          </w:tcPr>
          <w:p w14:paraId="41A32101" w14:textId="03CD6221" w:rsidR="00086833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Todos sus conocimientos los adquirió por una biblioteca que tenía su padrastro</w:t>
            </w:r>
            <w:r w:rsidR="003D4EED">
              <w:rPr>
                <w:rFonts w:ascii="Rockwell Extra Bold" w:hAnsi="Rockwell Extra Bold"/>
                <w:sz w:val="20"/>
              </w:rPr>
              <w:t>.</w:t>
            </w:r>
          </w:p>
          <w:p w14:paraId="04F9F15D" w14:textId="793A3100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 xml:space="preserve">Estudio </w:t>
            </w:r>
            <w:r w:rsidR="003E1344" w:rsidRPr="003E1344">
              <w:rPr>
                <w:rFonts w:ascii="Rockwell Extra Bold" w:hAnsi="Rockwell Extra Bold"/>
                <w:sz w:val="20"/>
              </w:rPr>
              <w:t>lectura y lenguas</w:t>
            </w:r>
            <w:r w:rsidR="003D4EED">
              <w:rPr>
                <w:rFonts w:ascii="Rockwell Extra Bold" w:hAnsi="Rockwell Extra Bold"/>
                <w:sz w:val="20"/>
              </w:rPr>
              <w:t>.</w:t>
            </w:r>
          </w:p>
          <w:p w14:paraId="53509747" w14:textId="1C74D9AA" w:rsidR="003E1344" w:rsidRPr="003E1344" w:rsidRDefault="003D4EED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G</w:t>
            </w:r>
            <w:r w:rsidRPr="003E1344">
              <w:rPr>
                <w:rFonts w:ascii="Rockwell Extra Bold" w:hAnsi="Rockwell Extra Bold"/>
                <w:sz w:val="20"/>
              </w:rPr>
              <w:t>eometría</w:t>
            </w:r>
            <w:r>
              <w:rPr>
                <w:rFonts w:ascii="Rockwell Extra Bold" w:hAnsi="Rockwell Extra Bold"/>
                <w:sz w:val="20"/>
              </w:rPr>
              <w:t>.</w:t>
            </w:r>
          </w:p>
          <w:p w14:paraId="42BCFC8C" w14:textId="49CF0B86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Matemáticas</w:t>
            </w:r>
            <w:r w:rsidR="003D4EED">
              <w:rPr>
                <w:rFonts w:ascii="Rockwell Extra Bold" w:hAnsi="Rockwell Extra Bold"/>
                <w:sz w:val="20"/>
              </w:rPr>
              <w:t>.</w:t>
            </w:r>
          </w:p>
          <w:p w14:paraId="6B331803" w14:textId="26F9F96F" w:rsidR="00A7301F" w:rsidRPr="003E1344" w:rsidRDefault="00A7301F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t>Filosofía natural</w:t>
            </w:r>
            <w:r w:rsidR="003D4EED">
              <w:rPr>
                <w:rFonts w:ascii="Rockwell Extra Bold" w:hAnsi="Rockwell Extra Bold"/>
                <w:sz w:val="20"/>
              </w:rPr>
              <w:t>.</w:t>
            </w:r>
          </w:p>
          <w:p w14:paraId="7630CF30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03E1E230" w14:textId="2A360A2B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</w:tc>
        <w:tc>
          <w:tcPr>
            <w:tcW w:w="3041" w:type="dxa"/>
          </w:tcPr>
          <w:p w14:paraId="0BAEEF8E" w14:textId="1CFBBC6E" w:rsidR="00086833" w:rsidRPr="003E1344" w:rsidRDefault="000E1F81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>Recibió su conocimiento de diferentes academias de las cuales en algunas recibió reconocimientos.</w:t>
            </w:r>
          </w:p>
        </w:tc>
        <w:tc>
          <w:tcPr>
            <w:tcW w:w="2305" w:type="dxa"/>
          </w:tcPr>
          <w:p w14:paraId="1AF805C3" w14:textId="77777777" w:rsidR="000E1F81" w:rsidRPr="000E1F81" w:rsidRDefault="000E1F81" w:rsidP="000E1F81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 xml:space="preserve">Alumno de </w:t>
            </w:r>
            <w:r w:rsidRPr="000E1F81">
              <w:rPr>
                <w:rFonts w:ascii="Rockwell Extra Bold" w:hAnsi="Rockwell Extra Bold"/>
                <w:sz w:val="20"/>
              </w:rPr>
              <w:tab/>
            </w:r>
          </w:p>
          <w:p w14:paraId="5128E331" w14:textId="51CDE878" w:rsidR="00086833" w:rsidRPr="003E1344" w:rsidRDefault="000E1F81" w:rsidP="000E1F81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 xml:space="preserve">Adam </w:t>
            </w:r>
            <w:proofErr w:type="spellStart"/>
            <w:r>
              <w:rPr>
                <w:rFonts w:ascii="Rockwell Extra Bold" w:hAnsi="Rockwell Extra Bold"/>
                <w:sz w:val="20"/>
              </w:rPr>
              <w:t>Sedgwick</w:t>
            </w:r>
            <w:proofErr w:type="spellEnd"/>
            <w:r>
              <w:rPr>
                <w:rFonts w:ascii="Rockwell Extra Bold" w:hAnsi="Rockwell Extra Bold"/>
                <w:sz w:val="20"/>
              </w:rPr>
              <w:t xml:space="preserve"> </w:t>
            </w:r>
            <w:r w:rsidRPr="000E1F81">
              <w:rPr>
                <w:rFonts w:ascii="Rockwell Extra Bold" w:hAnsi="Rockwell Extra Bold"/>
                <w:sz w:val="20"/>
              </w:rPr>
              <w:t xml:space="preserve">John </w:t>
            </w:r>
            <w:proofErr w:type="spellStart"/>
            <w:r w:rsidRPr="000E1F81">
              <w:rPr>
                <w:rFonts w:ascii="Rockwell Extra Bold" w:hAnsi="Rockwell Extra Bold"/>
                <w:sz w:val="20"/>
              </w:rPr>
              <w:t>Edmonstone</w:t>
            </w:r>
            <w:proofErr w:type="spellEnd"/>
          </w:p>
        </w:tc>
        <w:tc>
          <w:tcPr>
            <w:tcW w:w="2914" w:type="dxa"/>
          </w:tcPr>
          <w:p w14:paraId="28A0A904" w14:textId="6BFDB85C" w:rsidR="00086833" w:rsidRPr="003E1344" w:rsidRDefault="00592E19" w:rsidP="00086833">
            <w:pPr>
              <w:rPr>
                <w:rFonts w:ascii="Rockwell Extra Bold" w:hAnsi="Rockwell Extra Bold"/>
                <w:sz w:val="20"/>
              </w:rPr>
            </w:pPr>
            <w:r>
              <w:rPr>
                <w:rFonts w:ascii="Rockwell Extra Bold" w:hAnsi="Rockwell Extra Bold"/>
                <w:sz w:val="20"/>
              </w:rPr>
              <w:t xml:space="preserve">Recibió algunos de sus conocimientos de la </w:t>
            </w:r>
            <w:r w:rsidRPr="00592E19">
              <w:rPr>
                <w:rFonts w:ascii="Rockwell Extra Bold" w:hAnsi="Rockwell Extra Bold"/>
                <w:sz w:val="20"/>
              </w:rPr>
              <w:t>Escuela Politécnica Federal de Zúrich</w:t>
            </w:r>
          </w:p>
        </w:tc>
      </w:tr>
      <w:tr w:rsidR="00086833" w14:paraId="5076FF79" w14:textId="77777777" w:rsidTr="00592E19">
        <w:trPr>
          <w:trHeight w:val="1689"/>
        </w:trPr>
        <w:tc>
          <w:tcPr>
            <w:tcW w:w="2207" w:type="dxa"/>
          </w:tcPr>
          <w:p w14:paraId="06361B19" w14:textId="3814EA29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/>
                <w:sz w:val="20"/>
              </w:rPr>
              <w:lastRenderedPageBreak/>
              <w:t>Aportaciones de cada autor</w:t>
            </w:r>
          </w:p>
        </w:tc>
        <w:tc>
          <w:tcPr>
            <w:tcW w:w="2529" w:type="dxa"/>
          </w:tcPr>
          <w:p w14:paraId="331E76C6" w14:textId="22613EE9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A7301F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Las tres leyes de </w:t>
            </w:r>
            <w:r w:rsidRPr="00A7301F">
              <w:rPr>
                <w:rFonts w:ascii="Rockwell Extra Bold" w:eastAsia="Times New Roman" w:hAnsi="Rockwell Extra Bold" w:cs="Arial"/>
                <w:b/>
                <w:bCs/>
                <w:color w:val="202124"/>
                <w:sz w:val="20"/>
                <w:szCs w:val="24"/>
                <w:lang w:eastAsia="es-MX"/>
              </w:rPr>
              <w:t>Newton</w:t>
            </w: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.</w:t>
            </w:r>
          </w:p>
          <w:p w14:paraId="32BF5ADA" w14:textId="14A6C8DB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A7301F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La l</w:t>
            </w: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ey de gravitación universal.</w:t>
            </w:r>
          </w:p>
          <w:p w14:paraId="720D3DA0" w14:textId="16192FEE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A7301F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Desarr</w:t>
            </w: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ollo del cálculo matemático.</w:t>
            </w:r>
          </w:p>
          <w:p w14:paraId="01021A91" w14:textId="6CD5179C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A7301F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 xml:space="preserve">Descubrir la </w:t>
            </w: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variable forma de la Tierra.</w:t>
            </w:r>
          </w:p>
          <w:p w14:paraId="48C1CE78" w14:textId="2C5D7BDF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A7301F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Adelant</w:t>
            </w: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os en el mundo de la óptica.</w:t>
            </w:r>
          </w:p>
          <w:p w14:paraId="4E1AA85D" w14:textId="3B6B3D30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Primer telescopio reflector.</w:t>
            </w:r>
          </w:p>
          <w:p w14:paraId="6FB9C3C3" w14:textId="18D7DF8C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La ley de convección térmica.</w:t>
            </w:r>
          </w:p>
          <w:p w14:paraId="4497F0B9" w14:textId="77777777" w:rsidR="00A7301F" w:rsidRPr="00A7301F" w:rsidRDefault="00A7301F" w:rsidP="003E1344">
            <w:pPr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A7301F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Propiedades del sonido.</w:t>
            </w:r>
          </w:p>
          <w:p w14:paraId="6AF208EE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514040B3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  <w:p w14:paraId="64BA37D1" w14:textId="624D79A3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</w:tc>
        <w:tc>
          <w:tcPr>
            <w:tcW w:w="3041" w:type="dxa"/>
          </w:tcPr>
          <w:p w14:paraId="0B3C645C" w14:textId="408068C2" w:rsidR="003E1344" w:rsidRPr="003E1344" w:rsidRDefault="003E1344" w:rsidP="003E1344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 xml:space="preserve">Pasteurización. </w:t>
            </w:r>
          </w:p>
          <w:p w14:paraId="26E2D5FF" w14:textId="6A0AEF04" w:rsidR="003E1344" w:rsidRPr="003E1344" w:rsidRDefault="003E1344" w:rsidP="003E1344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Teoría germinal de las enfermedades infecciosas.</w:t>
            </w:r>
          </w:p>
          <w:p w14:paraId="6738506E" w14:textId="4D37A03C" w:rsidR="003E1344" w:rsidRPr="003E1344" w:rsidRDefault="003E1344" w:rsidP="003E1344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Procesos de fermentación.</w:t>
            </w:r>
          </w:p>
          <w:p w14:paraId="76728006" w14:textId="3AFE6A0F" w:rsidR="003E1344" w:rsidRPr="003E1344" w:rsidRDefault="003E1344" w:rsidP="003E1344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 xml:space="preserve">Rechazo de la generación espontánea. </w:t>
            </w:r>
          </w:p>
          <w:p w14:paraId="21A64DE2" w14:textId="6B692006" w:rsidR="003E1344" w:rsidRPr="003E1344" w:rsidRDefault="003E1344" w:rsidP="003E1344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Desarrollo de vacun</w:t>
            </w:r>
            <w:r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as.</w:t>
            </w:r>
          </w:p>
          <w:p w14:paraId="04069991" w14:textId="77777777" w:rsidR="003E1344" w:rsidRPr="003E1344" w:rsidRDefault="003E1344" w:rsidP="003E1344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Instituto </w:t>
            </w:r>
            <w:r w:rsidRPr="003E1344">
              <w:rPr>
                <w:rFonts w:ascii="Rockwell Extra Bold" w:eastAsia="Times New Roman" w:hAnsi="Rockwell Extra Bold" w:cs="Arial"/>
                <w:b/>
                <w:bCs/>
                <w:color w:val="202124"/>
                <w:sz w:val="20"/>
                <w:szCs w:val="24"/>
                <w:lang w:eastAsia="es-MX"/>
              </w:rPr>
              <w:t>Pasteur</w:t>
            </w: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.</w:t>
            </w:r>
          </w:p>
          <w:p w14:paraId="56FC2D6F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</w:tc>
        <w:tc>
          <w:tcPr>
            <w:tcW w:w="2305" w:type="dxa"/>
          </w:tcPr>
          <w:p w14:paraId="2367D35E" w14:textId="7828EF96" w:rsidR="00086833" w:rsidRPr="003E1344" w:rsidRDefault="003E1344" w:rsidP="00086833">
            <w:pPr>
              <w:rPr>
                <w:rFonts w:ascii="Rockwell Extra Bold" w:hAnsi="Rockwell Extra Bold"/>
                <w:sz w:val="20"/>
              </w:rPr>
            </w:pPr>
            <w:r w:rsidRPr="003E1344">
              <w:rPr>
                <w:rFonts w:ascii="Rockwell Extra Bold" w:hAnsi="Rockwell Extra Bold" w:cs="Arial"/>
                <w:b/>
                <w:bCs/>
                <w:color w:val="202124"/>
                <w:sz w:val="20"/>
                <w:shd w:val="clear" w:color="auto" w:fill="FFFFFF"/>
              </w:rPr>
              <w:t>Darwin</w:t>
            </w:r>
            <w:r w:rsidRPr="003E1344">
              <w:rPr>
                <w:rFonts w:ascii="Rockwell Extra Bold" w:hAnsi="Rockwell Extra Bold" w:cs="Arial"/>
                <w:color w:val="202124"/>
                <w:sz w:val="20"/>
                <w:shd w:val="clear" w:color="auto" w:fill="FFFFFF"/>
              </w:rPr>
              <w:t> definió la evolución como "descendencia con modificación", la idea de que las especies cambian a lo largo del tiempo, dan origen a nuevas especies y comparten un ancestro común.</w:t>
            </w:r>
          </w:p>
        </w:tc>
        <w:tc>
          <w:tcPr>
            <w:tcW w:w="2914" w:type="dxa"/>
          </w:tcPr>
          <w:p w14:paraId="1E64AE02" w14:textId="193FC16E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 xml:space="preserve">Teoría de la relatividad especial. </w:t>
            </w:r>
          </w:p>
          <w:p w14:paraId="17744D35" w14:textId="3DEC6277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El efecto fotoeléctrico.</w:t>
            </w:r>
          </w:p>
          <w:p w14:paraId="63C2B2DC" w14:textId="4538DCAB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Ecuación E=MC²</w:t>
            </w:r>
            <w:r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.</w:t>
            </w:r>
          </w:p>
          <w:p w14:paraId="3F547C23" w14:textId="31765567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 xml:space="preserve">Teoría de la relatividad general. </w:t>
            </w:r>
          </w:p>
          <w:p w14:paraId="272B18DE" w14:textId="23B71C9F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Teoría de campo unificado.</w:t>
            </w:r>
          </w:p>
          <w:p w14:paraId="3B65C16F" w14:textId="42D1CF30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 xml:space="preserve">Estudio de las ondas gravitacionales. </w:t>
            </w:r>
          </w:p>
          <w:p w14:paraId="49BA8F6C" w14:textId="06062C99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Movimiento del Universo.</w:t>
            </w:r>
          </w:p>
          <w:p w14:paraId="151D02BF" w14:textId="14FF0B11" w:rsidR="003E1344" w:rsidRPr="003E1344" w:rsidRDefault="003E1344" w:rsidP="003E1344">
            <w:pPr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Movimiento Browniano.</w:t>
            </w:r>
          </w:p>
          <w:p w14:paraId="17584F10" w14:textId="3D4460DB" w:rsidR="003E1344" w:rsidRPr="003E1344" w:rsidRDefault="003E1344" w:rsidP="003E134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</w:pPr>
            <w:r w:rsidRPr="003E1344">
              <w:rPr>
                <w:rFonts w:ascii="Rockwell Extra Bold" w:eastAsia="Times New Roman" w:hAnsi="Rockwell Extra Bold" w:cs="Arial"/>
                <w:color w:val="202124"/>
                <w:sz w:val="20"/>
                <w:szCs w:val="24"/>
                <w:lang w:eastAsia="es-MX"/>
              </w:rPr>
              <w:t>Teoría cuántica</w:t>
            </w:r>
          </w:p>
          <w:p w14:paraId="61248108" w14:textId="77777777" w:rsidR="00086833" w:rsidRPr="003E1344" w:rsidRDefault="00086833" w:rsidP="00086833">
            <w:pPr>
              <w:rPr>
                <w:rFonts w:ascii="Rockwell Extra Bold" w:hAnsi="Rockwell Extra Bold"/>
                <w:sz w:val="20"/>
              </w:rPr>
            </w:pPr>
          </w:p>
        </w:tc>
      </w:tr>
    </w:tbl>
    <w:p w14:paraId="1D5DC70E" w14:textId="179372ED" w:rsidR="00742F4D" w:rsidRDefault="00086833" w:rsidP="00086833">
      <w:pPr>
        <w:jc w:val="center"/>
      </w:pPr>
      <w:r>
        <w:t>CUADRO DE HISTORIA DE LA CIENCIA</w:t>
      </w:r>
      <w:bookmarkStart w:id="0" w:name="_GoBack"/>
      <w:bookmarkEnd w:id="0"/>
    </w:p>
    <w:sectPr w:rsidR="00742F4D" w:rsidSect="000868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8C9"/>
    <w:multiLevelType w:val="multilevel"/>
    <w:tmpl w:val="34B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5DC4"/>
    <w:multiLevelType w:val="hybridMultilevel"/>
    <w:tmpl w:val="E63C0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4AAC"/>
    <w:multiLevelType w:val="multilevel"/>
    <w:tmpl w:val="F930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2375D"/>
    <w:multiLevelType w:val="multilevel"/>
    <w:tmpl w:val="34B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A6CD9"/>
    <w:multiLevelType w:val="multilevel"/>
    <w:tmpl w:val="101C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C01B0"/>
    <w:multiLevelType w:val="hybridMultilevel"/>
    <w:tmpl w:val="DABABCA8"/>
    <w:lvl w:ilvl="0" w:tplc="9F924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3"/>
    <w:rsid w:val="00086833"/>
    <w:rsid w:val="000E1F81"/>
    <w:rsid w:val="00272BA5"/>
    <w:rsid w:val="003D4EED"/>
    <w:rsid w:val="003E1344"/>
    <w:rsid w:val="00592E19"/>
    <w:rsid w:val="00742F4D"/>
    <w:rsid w:val="00A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9FD2"/>
  <w15:chartTrackingRefBased/>
  <w15:docId w15:val="{BFB140F3-8AF8-4824-8901-CC50AAE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F0ECFAD8BBC4299F07917D06F3D54" ma:contentTypeVersion="4" ma:contentTypeDescription="Crear nuevo documento." ma:contentTypeScope="" ma:versionID="a9b112c61936a93f1572958a64131ea5">
  <xsd:schema xmlns:xsd="http://www.w3.org/2001/XMLSchema" xmlns:xs="http://www.w3.org/2001/XMLSchema" xmlns:p="http://schemas.microsoft.com/office/2006/metadata/properties" xmlns:ns2="c6733a21-9e94-4ae9-af88-4a94f29929a7" targetNamespace="http://schemas.microsoft.com/office/2006/metadata/properties" ma:root="true" ma:fieldsID="ee1e4052fe63bc6353ae9b7ec1ee7443" ns2:_="">
    <xsd:import namespace="c6733a21-9e94-4ae9-af88-4a94f2992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3a21-9e94-4ae9-af88-4a94f2992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B9109-B7F7-47C1-8CE2-F3ED45463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054B8-2145-4B50-B188-DA9DDC0E3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33a21-9e94-4ae9-af88-4a94f2992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D53CF-6472-47B2-89E3-86A2E5DB11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TXSMcfly</cp:lastModifiedBy>
  <cp:revision>2</cp:revision>
  <dcterms:created xsi:type="dcterms:W3CDTF">2021-10-18T17:15:00Z</dcterms:created>
  <dcterms:modified xsi:type="dcterms:W3CDTF">2021-10-19T04:29:00Z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0x010100970F0ECFAD8BBC4299F07917D06F3D54</vt:lpwstr>
  </property>
</Properties>
</file>