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116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260"/>
        <w:gridCol w:w="2977"/>
      </w:tblGrid>
      <w:tr w:rsidR="000E39FC" w:rsidRPr="000E39FC" w14:paraId="0819A76E" w14:textId="3381F9F9" w:rsidTr="003C2604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900" w:type="dxa"/>
            <w:shd w:val="clear" w:color="auto" w:fill="8D1161"/>
          </w:tcPr>
          <w:p w14:paraId="4B4996C5" w14:textId="14078E56" w:rsidR="000E39FC" w:rsidRDefault="000E39FC" w:rsidP="000E39FC">
            <w:pPr>
              <w:spacing w:after="0" w:line="240" w:lineRule="auto"/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Situaciones didácticas</w:t>
            </w:r>
          </w:p>
          <w:p w14:paraId="1D761816" w14:textId="00EC3411" w:rsidR="000E39FC" w:rsidRDefault="000E39FC" w:rsidP="000E39FC">
            <w:pPr>
              <w:spacing w:after="0" w:line="240" w:lineRule="auto"/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fundamentales</w:t>
            </w:r>
          </w:p>
          <w:p w14:paraId="418AE255" w14:textId="6129D8FC" w:rsidR="000E39FC" w:rsidRPr="000E39FC" w:rsidRDefault="000E39FC" w:rsidP="000E39FC">
            <w:pPr>
              <w:spacing w:after="0" w:line="240" w:lineRule="auto"/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para la alfabetización</w:t>
            </w:r>
          </w:p>
        </w:tc>
        <w:tc>
          <w:tcPr>
            <w:tcW w:w="3260" w:type="dxa"/>
            <w:shd w:val="clear" w:color="auto" w:fill="8D1161"/>
          </w:tcPr>
          <w:p w14:paraId="2775B710" w14:textId="32C47925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¿Qué les posibilita hacer con el lenguaje que se escribe a los niños?</w:t>
            </w:r>
          </w:p>
        </w:tc>
        <w:tc>
          <w:tcPr>
            <w:tcW w:w="2977" w:type="dxa"/>
            <w:shd w:val="clear" w:color="auto" w:fill="8D1161"/>
          </w:tcPr>
          <w:p w14:paraId="1C5F9A47" w14:textId="216753D3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¿Qué aspectos focaliza del lenguaje y de las prácticas con ese lenguaje?</w:t>
            </w:r>
          </w:p>
        </w:tc>
      </w:tr>
    </w:tbl>
    <w:p w14:paraId="2ECA04DF" w14:textId="77777777" w:rsidR="000E39FC" w:rsidRPr="000E39FC" w:rsidRDefault="000E39FC">
      <w:pPr>
        <w:rPr>
          <w:rFonts w:ascii="Cambria Math" w:hAnsi="Cambria Math"/>
          <w:color w:val="FFFFFF" w:themeColor="background1"/>
          <w:sz w:val="24"/>
          <w:szCs w:val="24"/>
        </w:rPr>
      </w:pPr>
    </w:p>
    <w:tbl>
      <w:tblPr>
        <w:tblW w:w="913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167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310"/>
        <w:gridCol w:w="2927"/>
      </w:tblGrid>
      <w:tr w:rsidR="000E39FC" w:rsidRPr="000E39FC" w14:paraId="79C2BBA1" w14:textId="1E2036EA" w:rsidTr="003C2604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2900" w:type="dxa"/>
            <w:vMerge w:val="restart"/>
            <w:shd w:val="clear" w:color="auto" w:fill="B6167D"/>
          </w:tcPr>
          <w:p w14:paraId="36E49206" w14:textId="3E2F8B76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Los niños leen.</w:t>
            </w:r>
          </w:p>
        </w:tc>
        <w:tc>
          <w:tcPr>
            <w:tcW w:w="3310" w:type="dxa"/>
            <w:shd w:val="clear" w:color="auto" w:fill="B6167D"/>
          </w:tcPr>
          <w:p w14:paraId="42C2D8C7" w14:textId="77777777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 través del maestro</w:t>
            </w:r>
          </w:p>
          <w:p w14:paraId="38B17092" w14:textId="230C2206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Las situaciones de lectura a través del docente son imprescindibles para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garantizar el acceso de los niños al mundo de la cultura escrita. Numerosas investigaciones han mostrado los beneficios de leer a los pequeños antes de que puedan leer por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sí mismos, tanto para el desarrollo del lenguaje en general como para el aprendizaje de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la lectura y la 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escritura.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A través de la voz del maestro, la formación del lector no se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0E39FC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posterga: es posible desde el primer día de clase, incluido el nivel inicial.</w:t>
            </w:r>
          </w:p>
        </w:tc>
        <w:tc>
          <w:tcPr>
            <w:tcW w:w="2927" w:type="dxa"/>
            <w:shd w:val="clear" w:color="auto" w:fill="B6167D"/>
          </w:tcPr>
          <w:p w14:paraId="54E77AFC" w14:textId="2D4BE427" w:rsidR="000E39FC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 docente presenta la actividad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. 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eleccionando un fragmento de la canción con el propósito de focalizar el trabajo sobre un texto que no sea muy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extenso y resulte así accesible a niños pequeños.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Inmediatamente lee la estrofa para que los alumnos sepan qué parte de la canción está allí representada.</w:t>
            </w:r>
          </w:p>
        </w:tc>
      </w:tr>
      <w:tr w:rsidR="000E39FC" w:rsidRPr="000E39FC" w14:paraId="49840554" w14:textId="77777777" w:rsidTr="003C2604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2900" w:type="dxa"/>
            <w:vMerge/>
            <w:shd w:val="clear" w:color="auto" w:fill="B6167D"/>
          </w:tcPr>
          <w:p w14:paraId="13099A98" w14:textId="77777777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10" w:type="dxa"/>
            <w:shd w:val="clear" w:color="auto" w:fill="B6167D"/>
          </w:tcPr>
          <w:p w14:paraId="0DDBFD14" w14:textId="77777777" w:rsidR="000E39FC" w:rsidRPr="003C2604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Por si mismos y/o con otros niños</w:t>
            </w:r>
          </w:p>
          <w:p w14:paraId="2D85F84B" w14:textId="05B58861" w:rsidR="003C2604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El estudio focalizado y sistemático de la lectura por sí mismos de los chicos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que están aprendiendo a leer se intensificó hace alrededor de quince años y se refleja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en publicaciones que comienzan a aparecer alrededor de 1996 (Castedo, 1999, </w:t>
            </w:r>
            <w:proofErr w:type="gramStart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2000;Ferreiro</w:t>
            </w:r>
            <w:proofErr w:type="gramEnd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, 2008; Kaufman, 1998; Lerner, 2004; </w:t>
            </w:r>
            <w:proofErr w:type="spellStart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Molinari</w:t>
            </w:r>
            <w:proofErr w:type="spellEnd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, 2000; </w:t>
            </w:r>
            <w:proofErr w:type="spellStart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Molinari</w:t>
            </w:r>
            <w:proofErr w:type="spellEnd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&amp; Castedo, 2008).</w:t>
            </w:r>
          </w:p>
          <w:p w14:paraId="727C8232" w14:textId="76ED9D45" w:rsidR="003C2604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lastRenderedPageBreak/>
              <w:t>Las experiencias realizadas muestran claramente que nuestra hipótesis [“se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aprende a leer leyendo”] se verifica sólo en ciertas condiciones.</w:t>
            </w:r>
          </w:p>
        </w:tc>
        <w:tc>
          <w:tcPr>
            <w:tcW w:w="2927" w:type="dxa"/>
            <w:shd w:val="clear" w:color="auto" w:fill="B6167D"/>
          </w:tcPr>
          <w:p w14:paraId="2D9BB539" w14:textId="7BAE74A7" w:rsidR="000E39FC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lastRenderedPageBreak/>
              <w:t>Proveer un contexto -una imagen, el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 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portador y/o </w:t>
            </w:r>
            <w:proofErr w:type="gramStart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un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contexto</w:t>
            </w:r>
            <w:proofErr w:type="gramEnd"/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lingüístico- es imprescindible para que los niños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comiencen desde muy temprano a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desarrollar estrategias lectoras. Cuando no existe ese contexto, es imposible predecir lo que está escrito en el texto.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Prever que los niños dispongan de los conocimientos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necesarios para formular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anticipaciones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ajustadas al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lastRenderedPageBreak/>
              <w:t>texto que se presenta, ya sea porque los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han construido previamente (por sí mismos o a partir de proyectos anteriores) o bien porque el proyecto en curso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ofrece las oportunidades para que los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alumnos construyan los conocimientos pertinentes.</w:t>
            </w:r>
          </w:p>
        </w:tc>
      </w:tr>
      <w:tr w:rsidR="000E39FC" w:rsidRPr="000E39FC" w14:paraId="29B7AE82" w14:textId="4ACCA85B" w:rsidTr="003C2604">
        <w:tblPrEx>
          <w:tblCellMar>
            <w:top w:w="0" w:type="dxa"/>
            <w:bottom w:w="0" w:type="dxa"/>
          </w:tblCellMar>
        </w:tblPrEx>
        <w:trPr>
          <w:trHeight w:val="4299"/>
        </w:trPr>
        <w:tc>
          <w:tcPr>
            <w:tcW w:w="2900" w:type="dxa"/>
            <w:vMerge w:val="restart"/>
            <w:shd w:val="clear" w:color="auto" w:fill="B6167D"/>
          </w:tcPr>
          <w:p w14:paraId="5CD670F1" w14:textId="671EC3C8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lastRenderedPageBreak/>
              <w:t>Los niños escriben.</w:t>
            </w:r>
          </w:p>
        </w:tc>
        <w:tc>
          <w:tcPr>
            <w:tcW w:w="3310" w:type="dxa"/>
            <w:shd w:val="clear" w:color="auto" w:fill="B6167D"/>
          </w:tcPr>
          <w:p w14:paraId="6991FC36" w14:textId="77777777" w:rsidR="000E39FC" w:rsidRPr="003C2604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 través del maestro</w:t>
            </w:r>
          </w:p>
          <w:p w14:paraId="40D8C8B1" w14:textId="77777777" w:rsid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cuando los niños escriben a través del maestro,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el docente los habilita para que se comporten como autores. En estas situaciones, como la tarea de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anotar queda a cargo del docente -es él quien decide el sistema de marcas empleadas para escribir y se ocupa de trazarlas-, los chicos pueden centrarse en la composición del texto y liberarse de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los problemas que seguramente les plantearía el sistema de escritura.</w:t>
            </w:r>
          </w:p>
          <w:p w14:paraId="5CE900E5" w14:textId="73B4A28B" w:rsidR="003C2604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Decimos que los alumnos se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comportan como autores del texto porque, al enfrentar los problemas involucrados en la escritura,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toman decisiones acerca de qué van a escribir y cómo lo plasmarán e intentan ir adecuando su expresión a las características del género.</w:t>
            </w:r>
          </w:p>
        </w:tc>
        <w:tc>
          <w:tcPr>
            <w:tcW w:w="2927" w:type="dxa"/>
            <w:shd w:val="clear" w:color="auto" w:fill="B6167D"/>
          </w:tcPr>
          <w:p w14:paraId="2863989B" w14:textId="3EC11C29" w:rsidR="000E39FC" w:rsidRPr="003C2604" w:rsidRDefault="003C2604" w:rsidP="003C2604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Contar con fuentes de datos es fundamental para garantizar la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autonomía de los alumnos, ya que no dependen sólo del maestro cuando producen diferentes escrituras.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Ahora bien, la focalización en el comienzo y el final de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las palabras está lejos de ser la única intervención posible para ayudar a avanzar a los niños que producen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escrituras diferenciadas.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Para analizar otra intervención que ha mostrado ser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muy productiva</w:t>
            </w:r>
          </w:p>
        </w:tc>
      </w:tr>
      <w:tr w:rsidR="000E39FC" w:rsidRPr="003C2604" w14:paraId="215C304E" w14:textId="77777777" w:rsidTr="003C2604">
        <w:tblPrEx>
          <w:tblCellMar>
            <w:top w:w="0" w:type="dxa"/>
            <w:bottom w:w="0" w:type="dxa"/>
          </w:tblCellMar>
        </w:tblPrEx>
        <w:trPr>
          <w:trHeight w:val="5108"/>
        </w:trPr>
        <w:tc>
          <w:tcPr>
            <w:tcW w:w="2900" w:type="dxa"/>
            <w:vMerge/>
            <w:shd w:val="clear" w:color="auto" w:fill="B6167D"/>
          </w:tcPr>
          <w:p w14:paraId="42C15786" w14:textId="77777777" w:rsidR="000E39FC" w:rsidRP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10" w:type="dxa"/>
            <w:shd w:val="clear" w:color="auto" w:fill="B6167D"/>
          </w:tcPr>
          <w:p w14:paraId="7D114B59" w14:textId="77777777" w:rsidR="000E39FC" w:rsidRDefault="000E39FC" w:rsidP="000E39FC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3C2604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Por si mismo y/o con otros niños</w:t>
            </w:r>
          </w:p>
          <w:p w14:paraId="0E478E51" w14:textId="3A84ADD5" w:rsidR="003C2604" w:rsidRPr="003C2604" w:rsidRDefault="00E25F86" w:rsidP="00E25F86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Las situaciones en que los niños escriben por sí mismos están siempre íntimamente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relacionadas con las otras situaciones didácticas fundamentales -lectura y escritura 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través del maestro, 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lectura de los niños por sí mismos-, ya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que trabajamos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simultáneamente sobre el sistema de escritura, el lenguaje que se escribe y las prácticas sociales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de lectura y escritura.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Al escribir por sí mismos, los chicos tienen oportunidad de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desplegar sus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conceptualizaciones sobre la escritura y de plantearse nuevos problemas que los ayudan a avanzar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como escritores.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Compartir la escritura con los compañeros en el marco de una producción cooperativa-es decir, con la intención de ponerse de acuerdo- hace posible poner en común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conocimientos que algunos tienen y otros no, al mismo tiempo que los obliga a explicitar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sus argumentos y a analizarlos más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detenidamente que cuando trabajan individualmente.</w:t>
            </w:r>
          </w:p>
        </w:tc>
        <w:tc>
          <w:tcPr>
            <w:tcW w:w="2927" w:type="dxa"/>
            <w:shd w:val="clear" w:color="auto" w:fill="B6167D"/>
          </w:tcPr>
          <w:p w14:paraId="6A2B7CB6" w14:textId="7A3A7EDF" w:rsidR="000E39FC" w:rsidRPr="003C2604" w:rsidRDefault="00E25F86" w:rsidP="00E25F86">
            <w:pPr>
              <w:jc w:val="center"/>
              <w:rPr>
                <w:rFonts w:ascii="Cambria Math" w:hAnsi="Cambria Math"/>
                <w:color w:val="FFFFFF" w:themeColor="background1"/>
                <w:sz w:val="24"/>
                <w:szCs w:val="24"/>
              </w:rPr>
            </w:pP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 maestra, para ayudarlo a “pensar juntos”, convalida la parte de l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a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palabra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convencionalmente escrita (JO) y focaliza la atención del niño sucesivamente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en los otros dos “pedacitos”. Joaquín completa adecuadamente </w:t>
            </w:r>
            <w:proofErr w:type="gramStart"/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CAN</w:t>
            </w:r>
            <w:proofErr w:type="gramEnd"/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pero en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la sílaba siguiente utiliza el mismo criterio que lo lleva a escribir GER para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“</w:t>
            </w:r>
            <w:proofErr w:type="spellStart"/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gre</w:t>
            </w:r>
            <w:proofErr w:type="spellEnd"/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”, seguramente para no romper el patrón CV. De este modo, ambas sílabas</w:t>
            </w:r>
            <w:r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 xml:space="preserve"> </w:t>
            </w:r>
            <w:r w:rsidRPr="00E25F86">
              <w:rPr>
                <w:rFonts w:ascii="Cambria Math" w:hAnsi="Cambria Math"/>
                <w:color w:val="FFFFFF" w:themeColor="background1"/>
                <w:sz w:val="24"/>
                <w:szCs w:val="24"/>
              </w:rPr>
              <w:t>quedan representadas como CVC.</w:t>
            </w:r>
          </w:p>
        </w:tc>
      </w:tr>
    </w:tbl>
    <w:p w14:paraId="6E208E9E" w14:textId="1AAE60F3" w:rsidR="00B535E8" w:rsidRDefault="00B535E8"/>
    <w:sectPr w:rsidR="00B53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C"/>
    <w:rsid w:val="000E39FC"/>
    <w:rsid w:val="003C2604"/>
    <w:rsid w:val="00B535E8"/>
    <w:rsid w:val="00E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692E"/>
  <w15:chartTrackingRefBased/>
  <w15:docId w15:val="{71E06393-9F0A-4D01-B3CF-312B06A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Instrumentación</dc:creator>
  <cp:keywords/>
  <dc:description/>
  <cp:lastModifiedBy>Figa Instrumentación</cp:lastModifiedBy>
  <cp:revision>1</cp:revision>
  <dcterms:created xsi:type="dcterms:W3CDTF">2021-10-22T01:38:00Z</dcterms:created>
  <dcterms:modified xsi:type="dcterms:W3CDTF">2021-10-22T02:02:00Z</dcterms:modified>
</cp:coreProperties>
</file>