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/>
        <w:tblW w:w="11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6459"/>
        <w:gridCol w:w="3228"/>
      </w:tblGrid>
      <w:tr w:rsidR="00C36333" w:rsidRPr="00C36333" w14:paraId="1183DAA7" w14:textId="77777777" w:rsidTr="00022807">
        <w:trPr>
          <w:trHeight w:val="718"/>
        </w:trPr>
        <w:tc>
          <w:tcPr>
            <w:tcW w:w="199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5B7C" w14:textId="77777777" w:rsidR="00C36333" w:rsidRPr="00C36333" w:rsidRDefault="00C36333" w:rsidP="00C36333">
            <w:r w:rsidRPr="00C36333">
              <w:rPr>
                <w:b/>
                <w:bCs/>
              </w:rPr>
              <w:t>ELEMENTOS ORIENTADORES</w:t>
            </w:r>
          </w:p>
        </w:tc>
        <w:tc>
          <w:tcPr>
            <w:tcW w:w="494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57D3" w14:textId="77777777" w:rsidR="00C36333" w:rsidRPr="00C36333" w:rsidRDefault="00C36333" w:rsidP="00380361">
            <w:pPr>
              <w:jc w:val="center"/>
            </w:pPr>
            <w:r w:rsidRPr="00C36333">
              <w:rPr>
                <w:b/>
                <w:bCs/>
              </w:rPr>
              <w:t>¿QUÉ SE RECOMIENDA?</w:t>
            </w:r>
          </w:p>
        </w:tc>
        <w:tc>
          <w:tcPr>
            <w:tcW w:w="4583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00D5" w14:textId="77777777" w:rsidR="00C36333" w:rsidRPr="00C36333" w:rsidRDefault="00C36333" w:rsidP="00C36333">
            <w:r w:rsidRPr="00C36333">
              <w:rPr>
                <w:b/>
                <w:bCs/>
              </w:rPr>
              <w:t>¿QUÉ DISCIPLINAS Y /O NOCIÓN TEÓRICA PUEDEN FUNDAMENTAR ESTA ORIENTACIÓN</w:t>
            </w:r>
          </w:p>
        </w:tc>
      </w:tr>
      <w:tr w:rsidR="00022807" w:rsidRPr="00C36333" w14:paraId="6A61EE0E" w14:textId="77777777" w:rsidTr="00022807">
        <w:trPr>
          <w:trHeight w:val="4939"/>
        </w:trPr>
        <w:tc>
          <w:tcPr>
            <w:tcW w:w="1993" w:type="dxa"/>
            <w:vMerge w:val="restart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E208" w14:textId="77777777" w:rsidR="00C36333" w:rsidRPr="00C36333" w:rsidRDefault="00C36333" w:rsidP="00C36333">
            <w:r w:rsidRPr="00C36333">
              <w:t> </w:t>
            </w:r>
          </w:p>
          <w:p w14:paraId="4E570A92" w14:textId="77777777" w:rsidR="00C36333" w:rsidRPr="00C36333" w:rsidRDefault="00C36333" w:rsidP="00C36333">
            <w:r w:rsidRPr="00C36333">
              <w:t> Modalidades de trabajo</w:t>
            </w:r>
          </w:p>
          <w:p w14:paraId="7C3D6FAF" w14:textId="77777777" w:rsidR="00C36333" w:rsidRPr="00C36333" w:rsidRDefault="00C36333" w:rsidP="00C36333">
            <w:r w:rsidRPr="00C36333">
              <w:t>Mirta Castedo</w:t>
            </w:r>
          </w:p>
        </w:tc>
        <w:tc>
          <w:tcPr>
            <w:tcW w:w="4943" w:type="dxa"/>
            <w:vMerge w:val="restart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74F3" w14:textId="77777777" w:rsidR="00C36333" w:rsidRPr="00C36333" w:rsidRDefault="00C36333" w:rsidP="00C36333">
            <w:r w:rsidRPr="00C36333">
              <w:t> </w:t>
            </w:r>
          </w:p>
          <w:p w14:paraId="0181AD21" w14:textId="532AEB27" w:rsidR="002F5D72" w:rsidRPr="00744770" w:rsidRDefault="00C36333" w:rsidP="00C36333">
            <w:pPr>
              <w:rPr>
                <w:b/>
                <w:bCs/>
              </w:rPr>
            </w:pPr>
            <w:r w:rsidRPr="00C36333">
              <w:t> </w:t>
            </w:r>
            <w:r w:rsidRPr="00744770">
              <w:rPr>
                <w:b/>
                <w:bCs/>
              </w:rPr>
              <w:t>Proyectos</w:t>
            </w:r>
          </w:p>
          <w:p w14:paraId="51653CE6" w14:textId="3118B168" w:rsidR="00C36333" w:rsidRPr="00C36333" w:rsidRDefault="00C36333" w:rsidP="002F5D72">
            <w:r w:rsidRPr="00C36333">
              <w:t> </w:t>
            </w:r>
            <w:r w:rsidR="002F5D72">
              <w:t>Además, creemos que es central plantearse la elaboración de proyectos institucionales</w:t>
            </w:r>
            <w:r w:rsidR="005C2481">
              <w:t xml:space="preserve"> </w:t>
            </w:r>
            <w:r w:rsidR="002F5D72">
              <w:t>que, por un lado, promuevan actos significativos de lectura y escritura y por otro canalicen</w:t>
            </w:r>
            <w:r w:rsidR="007D31BD">
              <w:t xml:space="preserve"> </w:t>
            </w:r>
            <w:r w:rsidR="002F5D72">
              <w:t>diferentes intereses y capacidades de los niños. Nos referimos a proyectos de periodismo</w:t>
            </w:r>
            <w:r w:rsidR="007D31BD">
              <w:t xml:space="preserve"> escolar, </w:t>
            </w:r>
            <w:r w:rsidR="002F5D72">
              <w:t>intercambio epistolar, clubes de teatro</w:t>
            </w:r>
            <w:r w:rsidR="007D31BD">
              <w:t xml:space="preserve"> </w:t>
            </w:r>
            <w:r w:rsidR="002F5D72">
              <w:t>o club de abuelos narradores, que colaboran</w:t>
            </w:r>
            <w:r w:rsidR="007D31BD">
              <w:t xml:space="preserve"> </w:t>
            </w:r>
            <w:r w:rsidR="002F5D72">
              <w:t>en el mantenimiento de un ambiente alfabetizador (además de las acciones indispensables</w:t>
            </w:r>
            <w:r w:rsidR="007D31BD">
              <w:t xml:space="preserve"> </w:t>
            </w:r>
            <w:r w:rsidR="002F5D72">
              <w:t>en la sala de aula).</w:t>
            </w:r>
            <w:r w:rsidR="007D31BD">
              <w:t xml:space="preserve"> </w:t>
            </w:r>
            <w:r w:rsidR="002F5D72">
              <w:t>Las consideraciones que acabamos de realizar nos parecen indispensables para que las</w:t>
            </w:r>
            <w:r w:rsidR="007D31BD">
              <w:t xml:space="preserve"> </w:t>
            </w:r>
            <w:r w:rsidR="00B42007">
              <w:t>tareas para desarrollar</w:t>
            </w:r>
            <w:r w:rsidR="002F5D72">
              <w:t xml:space="preserve"> en el aula resulten verdaderamente adecuadas.</w:t>
            </w:r>
          </w:p>
          <w:p w14:paraId="6A26285B" w14:textId="1B5AB79A" w:rsidR="00C36333" w:rsidRPr="00744770" w:rsidRDefault="00C36333" w:rsidP="00C36333">
            <w:pPr>
              <w:rPr>
                <w:b/>
                <w:bCs/>
              </w:rPr>
            </w:pPr>
            <w:r w:rsidRPr="00C36333">
              <w:t> </w:t>
            </w:r>
            <w:r w:rsidRPr="00744770">
              <w:rPr>
                <w:b/>
                <w:bCs/>
              </w:rPr>
              <w:t>Concepto</w:t>
            </w:r>
          </w:p>
          <w:p w14:paraId="54E70978" w14:textId="0B161FAA" w:rsidR="00C36333" w:rsidRPr="00C36333" w:rsidRDefault="00B42007" w:rsidP="00C36333">
            <w:r>
              <w:t xml:space="preserve">Se considera como una propuesta factible, creativa y detallada y su aplicación, para realizar una mejora o resolver un problemática grupal, social, institucional y empresarial, sobre cualquier aspecto a que afecte a su desempeño </w:t>
            </w:r>
          </w:p>
          <w:p w14:paraId="3E631557" w14:textId="756536AD" w:rsidR="00C36333" w:rsidRPr="00C36333" w:rsidRDefault="00C36333" w:rsidP="00C36333">
            <w:r w:rsidRPr="00C36333">
              <w:t> </w:t>
            </w:r>
            <w:r w:rsidR="00022807">
              <w:t xml:space="preserve"> </w:t>
            </w:r>
            <w:hyperlink r:id="rId5" w:history="1">
              <w:r w:rsidR="00022807" w:rsidRPr="005D0072">
                <w:rPr>
                  <w:rStyle w:val="Hipervnculo"/>
                </w:rPr>
                <w:t>https://www.ugr.es/~rescate/practicum/intervencion_didactica.htm</w:t>
              </w:r>
            </w:hyperlink>
            <w:r w:rsidR="00022807">
              <w:t xml:space="preserve"> </w:t>
            </w:r>
          </w:p>
          <w:p w14:paraId="7A366EC9" w14:textId="77777777" w:rsidR="00C36333" w:rsidRPr="00C36333" w:rsidRDefault="00C36333" w:rsidP="00C36333">
            <w:r w:rsidRPr="00C36333">
              <w:t> </w:t>
            </w:r>
          </w:p>
          <w:p w14:paraId="4687520A" w14:textId="77777777" w:rsidR="007D31BD" w:rsidRDefault="007D31BD" w:rsidP="00C36333"/>
          <w:p w14:paraId="15452077" w14:textId="2E80A3ED" w:rsidR="00C36333" w:rsidRPr="00744770" w:rsidRDefault="00C36333" w:rsidP="00C36333">
            <w:pPr>
              <w:rPr>
                <w:b/>
                <w:bCs/>
              </w:rPr>
            </w:pPr>
            <w:r w:rsidRPr="00C36333">
              <w:lastRenderedPageBreak/>
              <w:t>F</w:t>
            </w:r>
            <w:r w:rsidRPr="00744770">
              <w:rPr>
                <w:b/>
                <w:bCs/>
              </w:rPr>
              <w:t>ases o pasos del proyecto</w:t>
            </w:r>
          </w:p>
          <w:p w14:paraId="181D8E1F" w14:textId="2EC3DCF7" w:rsidR="00A14B8D" w:rsidRPr="00744770" w:rsidRDefault="00A14B8D" w:rsidP="00C36333">
            <w:pPr>
              <w:rPr>
                <w:b/>
                <w:bCs/>
              </w:rPr>
            </w:pPr>
            <w:r w:rsidRPr="00744770">
              <w:rPr>
                <w:b/>
                <w:bCs/>
              </w:rPr>
              <w:t>Fase 1:</w:t>
            </w:r>
          </w:p>
          <w:p w14:paraId="6D64AADB" w14:textId="2B00A9CD" w:rsidR="00D6202D" w:rsidRDefault="00B42007" w:rsidP="00B42007">
            <w:r>
              <w:t>Podemos identificar una primera fase caracterizada por un abordaje global del texto a producir. Es un momento donde se plantean situaciones en las cuales los niños leen, escuchan, dictan, escriben, critican y corrigen el texto como totalidad, sin desagregar contenidos lingüísticos específicos.</w:t>
            </w:r>
          </w:p>
          <w:p w14:paraId="537EEE8B" w14:textId="0B84FED7" w:rsidR="00A14B8D" w:rsidRPr="008F15A6" w:rsidRDefault="00A14B8D" w:rsidP="00B42007">
            <w:pPr>
              <w:rPr>
                <w:b/>
                <w:bCs/>
              </w:rPr>
            </w:pPr>
            <w:r w:rsidRPr="008F15A6">
              <w:rPr>
                <w:b/>
                <w:bCs/>
              </w:rPr>
              <w:t>Fase 2:</w:t>
            </w:r>
          </w:p>
          <w:p w14:paraId="7C4F2C17" w14:textId="08313149" w:rsidR="00022807" w:rsidRDefault="00022807" w:rsidP="00022807">
            <w:r>
              <w:t>Entre las dos fases descriptas puede desarrollarse un segundo momento que denominamos “situaciones ad-hoc para resolver problemas relativos a contenidos lingüísticos recortados”.</w:t>
            </w:r>
          </w:p>
          <w:p w14:paraId="623C7351" w14:textId="59B9C798" w:rsidR="00A14B8D" w:rsidRPr="008F15A6" w:rsidRDefault="00A14B8D" w:rsidP="00022807">
            <w:pPr>
              <w:rPr>
                <w:b/>
                <w:bCs/>
              </w:rPr>
            </w:pPr>
            <w:r w:rsidRPr="008F15A6">
              <w:rPr>
                <w:b/>
                <w:bCs/>
              </w:rPr>
              <w:t>Fase 3:</w:t>
            </w:r>
          </w:p>
          <w:p w14:paraId="045B6353" w14:textId="362B50DE" w:rsidR="00022807" w:rsidRDefault="00A14B8D" w:rsidP="00A14B8D">
            <w:r>
              <w:t>-</w:t>
            </w:r>
            <w:r w:rsidR="00022807">
              <w:t>Planteo del problema</w:t>
            </w:r>
          </w:p>
          <w:p w14:paraId="40FE0918" w14:textId="36CA1490" w:rsidR="00022807" w:rsidRDefault="00A14B8D" w:rsidP="00022807">
            <w:r>
              <w:t>-</w:t>
            </w:r>
            <w:r w:rsidR="00022807">
              <w:t>Solución en equipos</w:t>
            </w:r>
          </w:p>
          <w:p w14:paraId="08EB20B1" w14:textId="0183AFD5" w:rsidR="00B42007" w:rsidRPr="00C36333" w:rsidRDefault="00A14B8D" w:rsidP="00022807">
            <w:r>
              <w:t>-</w:t>
            </w:r>
            <w:r w:rsidR="00022807">
              <w:t>Confrontación y solución colectiva.</w:t>
            </w:r>
          </w:p>
          <w:p w14:paraId="1989371A" w14:textId="7E875794" w:rsidR="00C36333" w:rsidRDefault="00C36333" w:rsidP="00C36333">
            <w:pPr>
              <w:rPr>
                <w:b/>
                <w:bCs/>
              </w:rPr>
            </w:pPr>
            <w:r w:rsidRPr="008F15A6">
              <w:rPr>
                <w:b/>
                <w:bCs/>
              </w:rPr>
              <w:t>Situación    didáctica</w:t>
            </w:r>
          </w:p>
          <w:p w14:paraId="2937BCC2" w14:textId="33C97DDD" w:rsidR="008F15A6" w:rsidRPr="00165B51" w:rsidRDefault="00165B51" w:rsidP="00C36333">
            <w:r>
              <w:t xml:space="preserve">Aprendizaje que diseña </w:t>
            </w:r>
            <w:r w:rsidR="00D96165">
              <w:t xml:space="preserve">estratégicamente para potenciar el </w:t>
            </w:r>
            <w:r w:rsidR="00805E99">
              <w:t xml:space="preserve">desarrollo de ciertos conocimientos, habilidades, </w:t>
            </w:r>
            <w:r w:rsidR="00924B38">
              <w:t>actitudes que regularmente toma sentido a partir de la necesidad de un problema.</w:t>
            </w:r>
          </w:p>
          <w:p w14:paraId="40139605" w14:textId="77777777" w:rsidR="00C36333" w:rsidRPr="008F15A6" w:rsidRDefault="00C36333" w:rsidP="00C36333">
            <w:pPr>
              <w:rPr>
                <w:b/>
                <w:bCs/>
              </w:rPr>
            </w:pPr>
            <w:r w:rsidRPr="008F15A6">
              <w:rPr>
                <w:b/>
                <w:bCs/>
              </w:rPr>
              <w:t>Concepto</w:t>
            </w:r>
          </w:p>
          <w:p w14:paraId="051A4308" w14:textId="77777777" w:rsidR="000E1649" w:rsidRDefault="007C3EB4" w:rsidP="00427412">
            <w:pPr>
              <w:spacing w:after="0" w:line="240" w:lineRule="auto"/>
              <w:divId w:val="252789124"/>
              <w:rPr>
                <w:rFonts w:eastAsia="Times New Roman" w:cs="Times New Roman"/>
                <w:color w:val="000000" w:themeColor="text1"/>
                <w:shd w:val="clear" w:color="auto" w:fill="FFFFFF"/>
                <w:lang w:eastAsia="es-MX"/>
              </w:rPr>
            </w:pPr>
            <w:r w:rsidRPr="007C3EB4">
              <w:rPr>
                <w:rFonts w:eastAsia="Times New Roman" w:cs="Times New Roman"/>
                <w:color w:val="000000" w:themeColor="text1"/>
                <w:shd w:val="clear" w:color="auto" w:fill="FFFFFF"/>
                <w:lang w:eastAsia="es-MX"/>
              </w:rPr>
              <w:t xml:space="preserve">Es el conjunto de actividades </w:t>
            </w:r>
            <w:r w:rsidRPr="007C3EB4">
              <w:rPr>
                <w:rFonts w:eastAsia="Times New Roman" w:cs="Times New Roman"/>
                <w:color w:val="000000" w:themeColor="text1"/>
                <w:lang w:eastAsia="es-MX"/>
              </w:rPr>
              <w:t>didácticas</w:t>
            </w:r>
            <w:r w:rsidRPr="007C3EB4">
              <w:rPr>
                <w:rFonts w:eastAsia="Times New Roman" w:cs="Times New Roman"/>
                <w:color w:val="000000" w:themeColor="text1"/>
                <w:shd w:val="clear" w:color="auto" w:fill="FFFFFF"/>
                <w:lang w:eastAsia="es-MX"/>
              </w:rPr>
              <w:t xml:space="preserve"> que implican relaciones entre los niños, los contenidos y la maestra, con la finalidad de construir </w:t>
            </w:r>
            <w:r w:rsidRPr="007C3EB4">
              <w:rPr>
                <w:rFonts w:eastAsia="Times New Roman" w:cs="Times New Roman"/>
                <w:color w:val="000000" w:themeColor="text1"/>
                <w:lang w:eastAsia="es-MX"/>
              </w:rPr>
              <w:t>aprendizajes</w:t>
            </w:r>
            <w:r w:rsidRPr="007C3EB4">
              <w:rPr>
                <w:rFonts w:eastAsia="Times New Roman" w:cs="Times New Roman"/>
                <w:color w:val="000000" w:themeColor="text1"/>
                <w:shd w:val="clear" w:color="auto" w:fill="FFFFFF"/>
                <w:lang w:eastAsia="es-MX"/>
              </w:rPr>
              <w:t xml:space="preserve"> significativos</w:t>
            </w:r>
            <w:r w:rsidR="00A83020" w:rsidRPr="00427412">
              <w:rPr>
                <w:rFonts w:eastAsia="Times New Roman" w:cs="Times New Roman"/>
                <w:color w:val="000000" w:themeColor="text1"/>
                <w:shd w:val="clear" w:color="auto" w:fill="FFFFFF"/>
                <w:lang w:eastAsia="es-MX"/>
              </w:rPr>
              <w:t xml:space="preserve"> en los alumnos</w:t>
            </w:r>
            <w:r w:rsidR="000E1649">
              <w:rPr>
                <w:rFonts w:eastAsia="Times New Roman" w:cs="Times New Roman"/>
                <w:color w:val="000000" w:themeColor="text1"/>
                <w:shd w:val="clear" w:color="auto" w:fill="FFFFFF"/>
                <w:lang w:eastAsia="es-MX"/>
              </w:rPr>
              <w:t>.</w:t>
            </w:r>
          </w:p>
          <w:p w14:paraId="2230821D" w14:textId="7283FD7A" w:rsidR="00C36333" w:rsidRPr="00427412" w:rsidRDefault="000E1649" w:rsidP="00427412">
            <w:pPr>
              <w:spacing w:after="0" w:line="240" w:lineRule="auto"/>
              <w:divId w:val="252789124"/>
              <w:rPr>
                <w:rFonts w:eastAsia="Times New Roman" w:cs="Times New Roman"/>
                <w:lang w:eastAsia="es-MX"/>
              </w:rPr>
            </w:pPr>
            <w:hyperlink r:id="rId6" w:history="1">
              <w:r w:rsidRPr="009B56F4">
                <w:rPr>
                  <w:rStyle w:val="Hipervnculo"/>
                  <w:rFonts w:eastAsia="Times New Roman" w:cs="Times New Roman"/>
                  <w:shd w:val="clear" w:color="auto" w:fill="FFFFFF"/>
                  <w:lang w:eastAsia="es-MX"/>
                </w:rPr>
                <w:t>https://aleph.org.mx/que-elementos-caracterizan-una-situacion-didactica</w:t>
              </w:r>
            </w:hyperlink>
            <w:r>
              <w:rPr>
                <w:rFonts w:eastAsia="Times New Roman" w:cs="Times New Roman"/>
                <w:color w:val="000000" w:themeColor="text1"/>
                <w:shd w:val="clear" w:color="auto" w:fill="FFFFFF"/>
                <w:lang w:eastAsia="es-MX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44E3" w14:textId="77777777" w:rsidR="00C36333" w:rsidRPr="00620E63" w:rsidRDefault="00C36333" w:rsidP="00C36333">
            <w:pPr>
              <w:rPr>
                <w:b/>
                <w:bCs/>
              </w:rPr>
            </w:pPr>
            <w:r w:rsidRPr="00620E63">
              <w:rPr>
                <w:b/>
                <w:bCs/>
              </w:rPr>
              <w:lastRenderedPageBreak/>
              <w:t>Teorías lingüísticas</w:t>
            </w:r>
          </w:p>
          <w:p w14:paraId="1DEB94B4" w14:textId="50A7AE2A" w:rsidR="00C36333" w:rsidRPr="00C36333" w:rsidRDefault="00C36333" w:rsidP="00C36333">
            <w:r w:rsidRPr="00C36333">
              <w:t>   </w:t>
            </w:r>
            <w:r w:rsidR="00022807" w:rsidRPr="00C36333">
              <w:t>Sociolingüísticas</w:t>
            </w:r>
            <w:r w:rsidRPr="00C36333">
              <w:t xml:space="preserve">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71B487DE" w14:textId="77777777" w:rsidR="00C36333" w:rsidRPr="00C36333" w:rsidRDefault="00C36333" w:rsidP="00C36333">
            <w:r w:rsidRPr="00C36333">
              <w:t>      Lingüística textual por los tipos de texto que se producen, sus características, funciones y soportes de circulación.</w:t>
            </w:r>
          </w:p>
          <w:p w14:paraId="35CD3E9E" w14:textId="77777777" w:rsidR="00C36333" w:rsidRPr="00620E63" w:rsidRDefault="00C36333" w:rsidP="00C36333">
            <w:pPr>
              <w:rPr>
                <w:b/>
                <w:bCs/>
              </w:rPr>
            </w:pPr>
            <w:r w:rsidRPr="00620E63">
              <w:rPr>
                <w:b/>
                <w:bCs/>
              </w:rPr>
              <w:t>Teorías psicolingüísticas</w:t>
            </w:r>
          </w:p>
          <w:p w14:paraId="1DE80DB0" w14:textId="77777777" w:rsidR="00C36333" w:rsidRPr="00C36333" w:rsidRDefault="00C36333" w:rsidP="00C36333">
            <w:r w:rsidRPr="00C36333">
              <w:t>    Teoría sociocultural y pragmática porque implica una modalidad para recrear contextos lingüísticamente significativos.</w:t>
            </w:r>
          </w:p>
        </w:tc>
      </w:tr>
      <w:tr w:rsidR="00C36333" w:rsidRPr="00C36333" w14:paraId="7BCED9D0" w14:textId="77777777" w:rsidTr="00022807">
        <w:trPr>
          <w:trHeight w:val="2658"/>
        </w:trPr>
        <w:tc>
          <w:tcPr>
            <w:tcW w:w="0" w:type="auto"/>
            <w:vMerge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49F6761D" w14:textId="77777777" w:rsidR="00C36333" w:rsidRPr="00C36333" w:rsidRDefault="00C36333" w:rsidP="00C36333"/>
        </w:tc>
        <w:tc>
          <w:tcPr>
            <w:tcW w:w="4943" w:type="dxa"/>
            <w:vMerge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0F1E0703" w14:textId="77777777" w:rsidR="00C36333" w:rsidRPr="00C36333" w:rsidRDefault="00C36333" w:rsidP="00C36333"/>
        </w:tc>
        <w:tc>
          <w:tcPr>
            <w:tcW w:w="458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B4B7" w14:textId="77777777" w:rsidR="00C36333" w:rsidRPr="00C36333" w:rsidRDefault="00C36333" w:rsidP="00C36333">
            <w:r w:rsidRPr="00C36333">
              <w:t> </w:t>
            </w:r>
          </w:p>
          <w:p w14:paraId="016B6422" w14:textId="276C2F03" w:rsidR="00C36333" w:rsidRDefault="00C36333" w:rsidP="00C36333">
            <w:r w:rsidRPr="00620E63">
              <w:rPr>
                <w:b/>
                <w:bCs/>
              </w:rPr>
              <w:t>     Teorías lingüísticas</w:t>
            </w:r>
            <w:r w:rsidRPr="00C36333">
              <w:t>:</w:t>
            </w:r>
          </w:p>
          <w:p w14:paraId="7C5443FB" w14:textId="37D24D10" w:rsidR="00AD6825" w:rsidRPr="00C36333" w:rsidRDefault="00AD6825" w:rsidP="00C36333">
            <w:r w:rsidRPr="00AD6825">
              <w:t>Pragmática porque la elaboración de proyectos implica pensar y analizar situaciones comunicativas, emisores, destinatarios de los mensajes que se producen intenciones comunicativas,</w:t>
            </w:r>
          </w:p>
          <w:p w14:paraId="0FED23F4" w14:textId="2B44E1BD" w:rsidR="00C36333" w:rsidRDefault="00C36333" w:rsidP="00C36333">
            <w:pPr>
              <w:rPr>
                <w:b/>
                <w:bCs/>
              </w:rPr>
            </w:pPr>
            <w:r w:rsidRPr="00620E63">
              <w:rPr>
                <w:b/>
                <w:bCs/>
              </w:rPr>
              <w:t>     Teorías psicolingüísticas</w:t>
            </w:r>
          </w:p>
          <w:p w14:paraId="0C94DB0B" w14:textId="0B748B71" w:rsidR="00FE5DD3" w:rsidRPr="00FE5DD3" w:rsidRDefault="00FE5DD3" w:rsidP="00C36333">
            <w:r>
              <w:t xml:space="preserve">Teoría sociocultural </w:t>
            </w:r>
            <w:r w:rsidR="00157D04">
              <w:t xml:space="preserve">ya que determina que el lenguaje es social, es una herramienta para poder comunicarnos </w:t>
            </w:r>
          </w:p>
          <w:p w14:paraId="1788F294" w14:textId="77777777" w:rsidR="00C36333" w:rsidRPr="00C36333" w:rsidRDefault="00C36333" w:rsidP="00C36333">
            <w:r w:rsidRPr="00620E63">
              <w:rPr>
                <w:b/>
                <w:bCs/>
              </w:rPr>
              <w:t> </w:t>
            </w:r>
          </w:p>
        </w:tc>
      </w:tr>
      <w:tr w:rsidR="00022807" w:rsidRPr="00C36333" w14:paraId="01EA8B2A" w14:textId="77777777" w:rsidTr="00022807">
        <w:trPr>
          <w:trHeight w:val="1975"/>
        </w:trPr>
        <w:tc>
          <w:tcPr>
            <w:tcW w:w="199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F20B" w14:textId="77777777" w:rsidR="00C36333" w:rsidRPr="00C36333" w:rsidRDefault="00C36333" w:rsidP="00C36333">
            <w:r w:rsidRPr="00C36333">
              <w:lastRenderedPageBreak/>
              <w:t>Intervención del profesor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E30D" w14:textId="7E527F9C" w:rsidR="00C36333" w:rsidRPr="00C36333" w:rsidRDefault="00C36333" w:rsidP="00C36333">
            <w:r w:rsidRPr="00C36333">
              <w:t> Mirta Castedo</w:t>
            </w:r>
          </w:p>
          <w:p w14:paraId="6D4B6E6B" w14:textId="45BE95E7" w:rsidR="00C36333" w:rsidRPr="00C36333" w:rsidRDefault="00B74C3C" w:rsidP="00C36333">
            <w:r w:rsidRPr="00B74C3C">
              <w:t xml:space="preserve">La intervención del profesor va a tener diferentes matices que se materializan en un estilo determinado de enseñar, en una técnica de enseñanza, en un recurso aislado de intervención y en una estrategia de abordar </w:t>
            </w:r>
            <w:r>
              <w:t xml:space="preserve">la enseñanza de la práctica. </w:t>
            </w:r>
            <w:r w:rsidR="00C36333" w:rsidRPr="00C36333">
              <w:br/>
            </w:r>
            <w:r w:rsidR="00C36333" w:rsidRPr="00C36333">
              <w:br/>
            </w:r>
            <w:r w:rsidR="00C36333" w:rsidRPr="00C36333">
              <w:br/>
            </w:r>
            <w:r w:rsidR="00C36333" w:rsidRPr="00C36333">
              <w:br/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F317" w14:textId="77777777" w:rsidR="00C36333" w:rsidRPr="00C36333" w:rsidRDefault="00C36333" w:rsidP="00C36333">
            <w:r w:rsidRPr="00C36333">
              <w:t>Teorías lingüísticas:</w:t>
            </w:r>
          </w:p>
          <w:p w14:paraId="54956257" w14:textId="77777777" w:rsidR="00C36333" w:rsidRPr="00C36333" w:rsidRDefault="00C36333" w:rsidP="00C36333">
            <w:r w:rsidRPr="00C36333">
              <w:t>Teorías psicolingüísticas</w:t>
            </w:r>
          </w:p>
        </w:tc>
      </w:tr>
      <w:tr w:rsidR="00C36333" w:rsidRPr="00C36333" w14:paraId="0EDBF88A" w14:textId="77777777" w:rsidTr="00022807">
        <w:trPr>
          <w:trHeight w:val="1292"/>
        </w:trPr>
        <w:tc>
          <w:tcPr>
            <w:tcW w:w="199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6F6D" w14:textId="77777777" w:rsidR="00C36333" w:rsidRPr="00C36333" w:rsidRDefault="00C36333" w:rsidP="00C36333">
            <w:r w:rsidRPr="00C36333">
              <w:t>Organización de la clase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5FAD" w14:textId="77777777" w:rsidR="00C36333" w:rsidRPr="00C36333" w:rsidRDefault="00C36333" w:rsidP="00C36333">
            <w:r w:rsidRPr="00C36333">
              <w:t> </w:t>
            </w:r>
          </w:p>
          <w:p w14:paraId="68B7275E" w14:textId="77777777" w:rsidR="00C36333" w:rsidRPr="00C36333" w:rsidRDefault="00C36333" w:rsidP="00C36333">
            <w:r w:rsidRPr="00C36333"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31D7" w14:textId="3444044F" w:rsidR="00C36333" w:rsidRPr="00C36333" w:rsidRDefault="00C36333" w:rsidP="00C36333">
            <w:r w:rsidRPr="00C36333">
              <w:t> </w:t>
            </w:r>
            <w:r w:rsidR="00A02EE5" w:rsidRPr="00C36333">
              <w:t>Teorías lingüísticas</w:t>
            </w:r>
            <w:r w:rsidRPr="00C36333">
              <w:t>:</w:t>
            </w:r>
          </w:p>
          <w:p w14:paraId="7F7AE622" w14:textId="77777777" w:rsidR="00C36333" w:rsidRPr="00C36333" w:rsidRDefault="00C36333" w:rsidP="00C36333">
            <w:r w:rsidRPr="00C36333">
              <w:t> </w:t>
            </w:r>
          </w:p>
          <w:p w14:paraId="28DBAF2C" w14:textId="77777777" w:rsidR="00C36333" w:rsidRPr="00C36333" w:rsidRDefault="00C36333" w:rsidP="00C36333">
            <w:r w:rsidRPr="00C36333">
              <w:t>Teorías</w:t>
            </w:r>
          </w:p>
        </w:tc>
      </w:tr>
      <w:tr w:rsidR="00022807" w:rsidRPr="00C36333" w14:paraId="2B7E83B1" w14:textId="77777777" w:rsidTr="00022807">
        <w:trPr>
          <w:trHeight w:val="1544"/>
        </w:trPr>
        <w:tc>
          <w:tcPr>
            <w:tcW w:w="199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7989" w14:textId="77777777" w:rsidR="00C36333" w:rsidRPr="00C36333" w:rsidRDefault="00C36333" w:rsidP="00C36333">
            <w:r w:rsidRPr="00C36333">
              <w:t>Recursos para el aprendizaje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477A" w14:textId="3C73070F" w:rsidR="00C36333" w:rsidRPr="00C36333" w:rsidRDefault="00C36333" w:rsidP="00A02EE5">
            <w:pPr>
              <w:jc w:val="both"/>
            </w:pPr>
            <w:r w:rsidRPr="00C36333">
              <w:t> </w:t>
            </w:r>
            <w:r w:rsidR="00A02EE5">
              <w:t xml:space="preserve">“Un enfoque adecuado de la ciencia educativa… necesita... desarrollar teorías acerca de la práctica educativa que arraiguen en el terreno concreto de las experiencias y situaciones de quienes practican la educación y que les permita enfrentarse a los problemas educacionales a que tales experiencias y situaciones den lugar.” (Carr, Kemmis, 1988.) Estas teorías son teorías didácticas, es decir, que den “respuestas a la mayoría de los problemas de la práctica educativa” </w:t>
            </w:r>
            <w:r w:rsidR="00A02EE5">
              <w:lastRenderedPageBreak/>
              <w:t>(Lerner, 1993).</w:t>
            </w:r>
            <w:r w:rsidR="00A02EE5">
              <w:cr/>
            </w:r>
          </w:p>
          <w:p w14:paraId="4543CA78" w14:textId="77777777" w:rsidR="00C36333" w:rsidRPr="00C36333" w:rsidRDefault="00C36333" w:rsidP="00C36333">
            <w:r w:rsidRPr="00C36333">
              <w:br/>
            </w:r>
            <w:r w:rsidRPr="00C36333">
              <w:br/>
            </w:r>
            <w:r w:rsidRPr="00C36333">
              <w:br/>
            </w:r>
            <w:r w:rsidRPr="00C36333">
              <w:br/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2B71" w14:textId="49D69045" w:rsidR="00C36333" w:rsidRPr="00C36333" w:rsidRDefault="00C36333" w:rsidP="00C36333">
            <w:r w:rsidRPr="00C36333">
              <w:lastRenderedPageBreak/>
              <w:t> </w:t>
            </w:r>
            <w:r w:rsidR="00A02EE5" w:rsidRPr="00C36333">
              <w:t>Teorías lingüísticas</w:t>
            </w:r>
            <w:r w:rsidRPr="00C36333">
              <w:t>:</w:t>
            </w:r>
          </w:p>
        </w:tc>
      </w:tr>
      <w:tr w:rsidR="00C36333" w:rsidRPr="00C36333" w14:paraId="281AE6D1" w14:textId="77777777" w:rsidTr="00022807">
        <w:trPr>
          <w:trHeight w:val="879"/>
        </w:trPr>
        <w:tc>
          <w:tcPr>
            <w:tcW w:w="199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D785" w14:textId="77777777" w:rsidR="00C36333" w:rsidRPr="00C36333" w:rsidRDefault="00C36333" w:rsidP="00C36333">
            <w:r w:rsidRPr="00C36333">
              <w:t>Evaluación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E854" w14:textId="77777777" w:rsidR="00C36333" w:rsidRPr="00C36333" w:rsidRDefault="00C36333" w:rsidP="00C36333">
            <w:r w:rsidRPr="00C36333">
              <w:t> Sugerencias de evaluación</w:t>
            </w:r>
          </w:p>
          <w:p w14:paraId="09539E49" w14:textId="77777777" w:rsidR="00C36333" w:rsidRPr="00C36333" w:rsidRDefault="00C36333" w:rsidP="00C36333">
            <w:r w:rsidRPr="00C36333"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F9BC" w14:textId="591339A0" w:rsidR="00C36333" w:rsidRPr="00C36333" w:rsidRDefault="00C36333" w:rsidP="00C36333">
            <w:r w:rsidRPr="00C36333">
              <w:t> </w:t>
            </w:r>
            <w:r w:rsidR="00A02EE5" w:rsidRPr="00C36333">
              <w:t>Teorías lingüísticas</w:t>
            </w:r>
            <w:r w:rsidRPr="00C36333">
              <w:t>:</w:t>
            </w:r>
          </w:p>
          <w:p w14:paraId="62D8895F" w14:textId="77777777" w:rsidR="00C36333" w:rsidRPr="00C36333" w:rsidRDefault="00C36333" w:rsidP="00C36333">
            <w:r w:rsidRPr="00C36333">
              <w:t> Teorías psicolingüísticas</w:t>
            </w:r>
          </w:p>
        </w:tc>
      </w:tr>
    </w:tbl>
    <w:p w14:paraId="102DB970" w14:textId="77777777" w:rsidR="00C36333" w:rsidRDefault="00C36333"/>
    <w:sectPr w:rsidR="00C36333" w:rsidSect="00C363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7579D"/>
    <w:multiLevelType w:val="hybridMultilevel"/>
    <w:tmpl w:val="76CCDB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90A1F"/>
    <w:multiLevelType w:val="hybridMultilevel"/>
    <w:tmpl w:val="E9A047F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33"/>
    <w:rsid w:val="00022807"/>
    <w:rsid w:val="000E1649"/>
    <w:rsid w:val="00157D04"/>
    <w:rsid w:val="00165B51"/>
    <w:rsid w:val="002F5D72"/>
    <w:rsid w:val="00380361"/>
    <w:rsid w:val="00427412"/>
    <w:rsid w:val="005C2481"/>
    <w:rsid w:val="00620E63"/>
    <w:rsid w:val="006C2EF8"/>
    <w:rsid w:val="00744770"/>
    <w:rsid w:val="007A1F20"/>
    <w:rsid w:val="007C3EB4"/>
    <w:rsid w:val="007D31BD"/>
    <w:rsid w:val="00805E99"/>
    <w:rsid w:val="008F15A6"/>
    <w:rsid w:val="00924B38"/>
    <w:rsid w:val="00A02EE5"/>
    <w:rsid w:val="00A14B8D"/>
    <w:rsid w:val="00A83020"/>
    <w:rsid w:val="00AD6825"/>
    <w:rsid w:val="00B42007"/>
    <w:rsid w:val="00B74C3C"/>
    <w:rsid w:val="00C36333"/>
    <w:rsid w:val="00CC6D50"/>
    <w:rsid w:val="00D143A7"/>
    <w:rsid w:val="00D6202D"/>
    <w:rsid w:val="00D96165"/>
    <w:rsid w:val="00EA36C9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2165"/>
  <w15:chartTrackingRefBased/>
  <w15:docId w15:val="{616ADD93-EAFF-44CB-8DB2-98A17FD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3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28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ph.org.mx/que-elementos-caracterizan-una-situacion-didactica" TargetMode="External"/><Relationship Id="rId5" Type="http://schemas.openxmlformats.org/officeDocument/2006/relationships/hyperlink" Target="https://www.ugr.es/~rescate/practicum/intervencion_didactic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GALILEA GUERRERO GARCIA</dc:creator>
  <cp:keywords/>
  <dc:description/>
  <cp:lastModifiedBy>Keren González</cp:lastModifiedBy>
  <cp:revision>21</cp:revision>
  <dcterms:created xsi:type="dcterms:W3CDTF">2021-12-03T00:46:00Z</dcterms:created>
  <dcterms:modified xsi:type="dcterms:W3CDTF">2021-12-03T01:51:00Z</dcterms:modified>
</cp:coreProperties>
</file>