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27"/>
        <w:tblW w:w="12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4962"/>
        <w:gridCol w:w="4611"/>
      </w:tblGrid>
      <w:tr w:rsidR="007B299A" w:rsidRPr="00F550E1" w14:paraId="02F89F46" w14:textId="77777777" w:rsidTr="00E72071">
        <w:tc>
          <w:tcPr>
            <w:tcW w:w="26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F03E1" w14:textId="77777777" w:rsidR="007B299A" w:rsidRPr="00F550E1" w:rsidRDefault="007B299A" w:rsidP="00E72071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0E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ELEMENTOS ORIENTADORES</w:t>
            </w:r>
          </w:p>
        </w:tc>
        <w:tc>
          <w:tcPr>
            <w:tcW w:w="496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787A" w14:textId="77777777" w:rsidR="007B299A" w:rsidRPr="00F550E1" w:rsidRDefault="007B299A" w:rsidP="00E72071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0E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¿QUÉ SE RECOMIENDA?</w:t>
            </w:r>
          </w:p>
        </w:tc>
        <w:tc>
          <w:tcPr>
            <w:tcW w:w="461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9A77" w14:textId="77777777" w:rsidR="007B299A" w:rsidRPr="00F550E1" w:rsidRDefault="007B299A" w:rsidP="00E72071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550E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¿QUÉ DISCIPLINAS Y /O NOCIÓN TEÓRICA PUEDEN FUNDAMENTAR ESTA ORIENTACIÓN</w:t>
            </w:r>
          </w:p>
        </w:tc>
      </w:tr>
      <w:tr w:rsidR="007B299A" w:rsidRPr="00F550E1" w14:paraId="2B909E89" w14:textId="77777777" w:rsidTr="00E72071">
        <w:tc>
          <w:tcPr>
            <w:tcW w:w="2622" w:type="dxa"/>
            <w:vMerge w:val="restart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0451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14:paraId="69C960A1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Modalidades de trabajo</w:t>
            </w:r>
          </w:p>
          <w:p w14:paraId="6D8D0316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Mirta Castedo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0180" w14:textId="43FC4318" w:rsidR="007B299A" w:rsidRPr="0003495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 Proyectos</w:t>
            </w:r>
          </w:p>
          <w:p w14:paraId="3CF63845" w14:textId="1C0201CF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modalidades pedagógicas de transmisión de los conocimientos. Es necesario asegurar, lo más posible, cierta uniformidad de los contratos didácticos que se plantean a los niños.</w:t>
            </w:r>
          </w:p>
          <w:p w14:paraId="140C1A53" w14:textId="2F5A9781" w:rsidR="007B299A" w:rsidRPr="00F550E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Además, creemos que es central plantearse la elaboración de proyectos institucionales que, por un lado, promuevan actos significativos de lectura y escritura y por otro canalicen diferentes intereses y capacidades de los niños.</w:t>
            </w:r>
          </w:p>
          <w:p w14:paraId="69EB4D49" w14:textId="004E1D1E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  <w:p w14:paraId="2CD302B9" w14:textId="3C0C6E9D" w:rsidR="008578F6" w:rsidRPr="00F550E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enseñanza escolar pone énfasis en un análisis gramatical centrado en la aplicación de conceptos </w:t>
            </w:r>
            <w:r w:rsidR="00034951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preelaborados</w:t>
            </w: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adulto. De esta manera, los primeros contactos del niño con el aprendizaje sistemático de la gramática consisten.</w:t>
            </w:r>
          </w:p>
          <w:p w14:paraId="0300D5CC" w14:textId="77777777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Fases o pasos del proyecto</w:t>
            </w:r>
          </w:p>
          <w:p w14:paraId="52169247" w14:textId="716B3C8C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objetivo es lograr escribir y corregir discutiendo con otros y confrontando con los modelos de aprendizaje.</w:t>
            </w:r>
          </w:p>
          <w:p w14:paraId="39FEC4D1" w14:textId="73F83479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1:</w:t>
            </w:r>
          </w:p>
          <w:p w14:paraId="1401F707" w14:textId="3EF76E8D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-Escribir y corregir discutiendo con los otros y conformando con modelos de enseñanza</w:t>
            </w:r>
          </w:p>
          <w:p w14:paraId="12B5B98A" w14:textId="0E1A5799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-Criticas y correcciones, algo para cambiar, sacar, agregar que dejaría igual el aprendizaje.</w:t>
            </w:r>
          </w:p>
          <w:p w14:paraId="239F4B0C" w14:textId="6ECC9FEC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578F6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 equipo una diferente.</w:t>
            </w:r>
          </w:p>
          <w:p w14:paraId="3B201001" w14:textId="130F107B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-Toda la misma producción</w:t>
            </w:r>
          </w:p>
          <w:p w14:paraId="43F7FFDF" w14:textId="72F5ED36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2:</w:t>
            </w:r>
          </w:p>
          <w:p w14:paraId="6DBC89D9" w14:textId="34EBAF1B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-Selecciona problemas no resueltos.</w:t>
            </w:r>
          </w:p>
          <w:p w14:paraId="5171C86B" w14:textId="6E20E9DA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-Relecturas del mismo texto o de modelos.</w:t>
            </w:r>
          </w:p>
          <w:p w14:paraId="2CFBC5BA" w14:textId="7707CD8C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-Leen y escuchan.</w:t>
            </w:r>
          </w:p>
          <w:p w14:paraId="0165600F" w14:textId="74849778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-Toman notas.</w:t>
            </w:r>
          </w:p>
          <w:p w14:paraId="1DB3C08B" w14:textId="4A52B2FD" w:rsidR="008578F6" w:rsidRPr="00034951" w:rsidRDefault="008578F6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-Escribe, dicta y tienen opiniones y </w:t>
            </w:r>
            <w:r w:rsidR="00034951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críticas</w:t>
            </w: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37299BF3" w14:textId="6204B3C3" w:rsidR="00420507" w:rsidRPr="00034951" w:rsidRDefault="00420507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Fase Intermedia: </w:t>
            </w:r>
          </w:p>
          <w:p w14:paraId="796B5A20" w14:textId="4EE55FA8" w:rsidR="00420507" w:rsidRPr="00034951" w:rsidRDefault="00420507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-Identificación de contenidos lingüísticos a trabajar, ej. Distintas situaciones de diferentes conceptos.</w:t>
            </w:r>
          </w:p>
          <w:p w14:paraId="5093896C" w14:textId="1FD1729F" w:rsidR="00420507" w:rsidRPr="00034951" w:rsidRDefault="00420507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-Confrontación y solución colectiva.</w:t>
            </w:r>
          </w:p>
          <w:p w14:paraId="4126F43C" w14:textId="0537A4DE" w:rsidR="00420507" w:rsidRPr="00034951" w:rsidRDefault="00420507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-Solución en equipos.</w:t>
            </w:r>
          </w:p>
          <w:p w14:paraId="42BC7CFD" w14:textId="667C1927" w:rsidR="00420507" w:rsidRPr="00034951" w:rsidRDefault="00420507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-Planteo del problema.</w:t>
            </w:r>
          </w:p>
          <w:p w14:paraId="46F69D37" w14:textId="6E66B288" w:rsidR="007B299A" w:rsidRPr="00034951" w:rsidRDefault="007B299A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Situación    didáctica</w:t>
            </w:r>
          </w:p>
          <w:p w14:paraId="74DC0131" w14:textId="777D8DB2" w:rsidR="00420507" w:rsidRPr="00F550E1" w:rsidRDefault="00420507" w:rsidP="00034951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Aprendizaje que diseña estratégicamente para potenciar el desarrollo de ciertos conocimientos, habilidades, actitudes que regularmente toma sentido a partir de la necesidad </w:t>
            </w:r>
            <w:r w:rsidR="00195BF4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un problema</w:t>
            </w:r>
          </w:p>
          <w:p w14:paraId="7DFA1547" w14:textId="77777777" w:rsidR="007B299A" w:rsidRPr="00F550E1" w:rsidRDefault="007B299A" w:rsidP="00034951">
            <w:pPr>
              <w:spacing w:before="100" w:beforeAutospacing="1" w:after="0" w:line="240" w:lineRule="auto"/>
              <w:ind w:left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  <w:p w14:paraId="7E0F3DE0" w14:textId="0FCC09D3" w:rsidR="007B299A" w:rsidRPr="00F550E1" w:rsidRDefault="00420507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 situación didáctica es una situación de aprendizaje diseñada estratégicamente para potenciar el desarrollo de ciertos conocimientos, habilidades y actitudes; creada de manera consciente por un mediador para acompañar cierto proceso de desarrollo</w:t>
            </w:r>
            <w:r w:rsidR="007B299A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7B299A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7B299A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7B299A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  <w:p w14:paraId="29C5A899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B08E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Teorías lingüísticas</w:t>
            </w:r>
          </w:p>
          <w:p w14:paraId="533EE930" w14:textId="77777777" w:rsidR="007B299A" w:rsidRPr="00F550E1" w:rsidRDefault="007B299A" w:rsidP="00034951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</w:t>
            </w: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Sociolingüística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2F84B9B8" w14:textId="77777777" w:rsidR="007B299A" w:rsidRPr="00F550E1" w:rsidRDefault="007B299A" w:rsidP="00034951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   Lingüística textual por los tipos de texto que se producen, sus características, funciones y soportes de circulación.</w:t>
            </w:r>
          </w:p>
          <w:p w14:paraId="11D5952C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psicolingüísticas</w:t>
            </w:r>
          </w:p>
          <w:p w14:paraId="49C87DD8" w14:textId="77777777" w:rsidR="007B299A" w:rsidRPr="00F550E1" w:rsidRDefault="007B299A" w:rsidP="00034951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 Teoría sociocultural y pragmática porque implica una modalidad para recrear contextos lingüísticamente significativos.</w:t>
            </w:r>
          </w:p>
        </w:tc>
      </w:tr>
      <w:tr w:rsidR="007B299A" w:rsidRPr="00F550E1" w14:paraId="7C24A896" w14:textId="77777777" w:rsidTr="00E72071">
        <w:tc>
          <w:tcPr>
            <w:tcW w:w="0" w:type="auto"/>
            <w:vMerge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661ECA27" w14:textId="77777777" w:rsidR="007B299A" w:rsidRPr="00F550E1" w:rsidRDefault="007B299A" w:rsidP="00034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14:paraId="463E38F2" w14:textId="77777777" w:rsidR="007B299A" w:rsidRPr="00F550E1" w:rsidRDefault="007B299A" w:rsidP="00034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82A4" w14:textId="77777777" w:rsidR="007B299A" w:rsidRPr="00F550E1" w:rsidRDefault="007B299A" w:rsidP="00034951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266FA88B" w14:textId="77777777" w:rsidR="007B299A" w:rsidRPr="00F550E1" w:rsidRDefault="007B299A" w:rsidP="00034951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  Teorías lingüísticas:</w:t>
            </w:r>
          </w:p>
          <w:p w14:paraId="24A1A39B" w14:textId="28B1140A" w:rsidR="007B299A" w:rsidRPr="00F550E1" w:rsidRDefault="007B299A" w:rsidP="00034951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C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="00C9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Sociolingüística por que nos ayuda a la socialización sobre los temas que vamos a tratar </w:t>
            </w:r>
          </w:p>
          <w:p w14:paraId="680E333E" w14:textId="77777777" w:rsidR="007B299A" w:rsidRPr="00F550E1" w:rsidRDefault="007B299A" w:rsidP="00034951">
            <w:pPr>
              <w:spacing w:before="100" w:beforeAutospacing="1" w:after="0" w:line="240" w:lineRule="auto"/>
              <w:ind w:left="24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  Teorías psicolingüísticas</w:t>
            </w:r>
          </w:p>
          <w:p w14:paraId="03D0CBBC" w14:textId="72DC6D97" w:rsidR="007B299A" w:rsidRPr="00F550E1" w:rsidRDefault="00857A96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Pragmática, nos ayuda a ver de una manera diferente los textos de lo que se va a hablar </w:t>
            </w:r>
          </w:p>
        </w:tc>
      </w:tr>
      <w:tr w:rsidR="007B299A" w:rsidRPr="00F550E1" w14:paraId="205C0D8F" w14:textId="77777777" w:rsidTr="00E72071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72A9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Intervención del profesor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A554A" w14:textId="77777777" w:rsidR="007B299A" w:rsidRPr="0003495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="00195BF4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-Exposición de alumnos</w:t>
            </w:r>
          </w:p>
          <w:p w14:paraId="52A6760B" w14:textId="77777777" w:rsidR="00195BF4" w:rsidRPr="00034951" w:rsidRDefault="00195BF4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-Recursos didácticos</w:t>
            </w:r>
          </w:p>
          <w:p w14:paraId="1CDBC59D" w14:textId="76A6A4B0" w:rsidR="00195BF4" w:rsidRPr="00034951" w:rsidRDefault="00195BF4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-Estrategia didáctica </w:t>
            </w:r>
          </w:p>
          <w:p w14:paraId="195F8FC7" w14:textId="77777777" w:rsidR="00195BF4" w:rsidRPr="00034951" w:rsidRDefault="00195BF4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-Personalidad del profesor</w:t>
            </w:r>
          </w:p>
          <w:p w14:paraId="54703793" w14:textId="35435B46" w:rsidR="00195BF4" w:rsidRPr="00F550E1" w:rsidRDefault="00195BF4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-Interacción de organización y control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0E741" w14:textId="60AFAC78" w:rsidR="007B299A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lingüísticas:</w:t>
            </w:r>
          </w:p>
          <w:p w14:paraId="4E785C26" w14:textId="7EC2AB11" w:rsidR="003D6CC7" w:rsidRPr="00F550E1" w:rsidRDefault="00857A96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Sociolingüística, por que usamos cosas didácticas y se relacionan con sus compañeros de clase </w:t>
            </w:r>
          </w:p>
          <w:p w14:paraId="12C5D83B" w14:textId="77777777" w:rsidR="007B299A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psicolingüísticas</w:t>
            </w:r>
          </w:p>
          <w:p w14:paraId="5384952F" w14:textId="699CB732" w:rsidR="00857A96" w:rsidRPr="00F550E1" w:rsidRDefault="00857A96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Pragmáticas, porque prácticas y tienen iteración con los compañeros de clase </w:t>
            </w:r>
          </w:p>
        </w:tc>
      </w:tr>
      <w:tr w:rsidR="007B299A" w:rsidRPr="00F550E1" w14:paraId="3E8EC5C2" w14:textId="77777777" w:rsidTr="00E72071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E67E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Organización de la clase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B09A" w14:textId="77777777" w:rsidR="007B299A" w:rsidRPr="0003495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2D08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-El alumno adquiere conocimiento</w:t>
            </w:r>
          </w:p>
          <w:p w14:paraId="35DD3F8E" w14:textId="77777777" w:rsidR="00272D08" w:rsidRPr="00034951" w:rsidRDefault="00272D08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 comparte la información</w:t>
            </w:r>
          </w:p>
          <w:p w14:paraId="1E0A190E" w14:textId="77777777" w:rsidR="00272D08" w:rsidRPr="00034951" w:rsidRDefault="00272D08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-Se consolida el aprendizaje</w:t>
            </w:r>
          </w:p>
          <w:p w14:paraId="04DE1DDB" w14:textId="53134426" w:rsidR="00272D08" w:rsidRPr="00F550E1" w:rsidRDefault="00272D08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1860" w14:textId="10B18E7D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2D08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27F83E95" w14:textId="6F80AE16" w:rsidR="00857A96" w:rsidRPr="00F550E1" w:rsidRDefault="007B299A" w:rsidP="00857A96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5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Lingüística textual y sociolingüística, p</w:t>
            </w:r>
            <w:r w:rsidR="009B4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</w:t>
            </w:r>
            <w:r w:rsidR="00857A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revisas los temas hasta que sean entendibles </w:t>
            </w:r>
            <w:r w:rsidR="009B4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de manera clave </w:t>
            </w:r>
          </w:p>
          <w:p w14:paraId="383CBBB4" w14:textId="77777777" w:rsidR="007B299A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</w:t>
            </w:r>
          </w:p>
          <w:p w14:paraId="2E744BDA" w14:textId="5B31C9AD" w:rsidR="009B4637" w:rsidRPr="00F550E1" w:rsidRDefault="009B4637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Pragmáticas ya que practicas con todo lo que puedas y sacas el mejor provecho </w:t>
            </w:r>
          </w:p>
        </w:tc>
      </w:tr>
      <w:tr w:rsidR="007B299A" w:rsidRPr="00F550E1" w14:paraId="5A95C0AD" w14:textId="77777777" w:rsidTr="00E72071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7BF9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Recursos para el aprendizaje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A06D" w14:textId="77777777" w:rsidR="007B299A" w:rsidRPr="0003495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“Un enfoque adecuado de la ciencia educativa… necesita... desarrollar teorías acerca de la práctica educativa que arraiguen en el terreno concreto de las experiencias y situaciones de</w:t>
            </w:r>
          </w:p>
          <w:p w14:paraId="19D55289" w14:textId="79EED43C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quienes practican la educación y que les permita enfrentarse a los problemas educacionales a que tales experiencias y situaciones den lugar.” (</w:t>
            </w:r>
            <w:proofErr w:type="spellStart"/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Kemmis, 1988.) Estas teorías son teorías didácticas, es decir, que den “respuestas a </w:t>
            </w:r>
            <w:proofErr w:type="spellStart"/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lamayoría</w:t>
            </w:r>
            <w:proofErr w:type="spellEnd"/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BD272E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problemas</w:t>
            </w: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práctica </w:t>
            </w:r>
            <w:r w:rsidR="00034951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educativa” (</w:t>
            </w:r>
            <w:r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Lerner, 1993).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CF81" w14:textId="77777777" w:rsidR="007B299A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2D08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27CC1030" w14:textId="38181FB3" w:rsidR="009B4637" w:rsidRPr="00F550E1" w:rsidRDefault="009B4637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Práctica, ya que ellos practican hasta estar listos sobre la información ya dada o analizada con anticipación </w:t>
            </w:r>
          </w:p>
        </w:tc>
      </w:tr>
      <w:tr w:rsidR="007B299A" w:rsidRPr="00F550E1" w14:paraId="18BBAB5A" w14:textId="77777777" w:rsidTr="00E72071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9260" w14:textId="77777777" w:rsidR="007B299A" w:rsidRPr="00F550E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960" w14:textId="77777777" w:rsidR="00034951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Sugerencias de evaluación</w:t>
            </w:r>
          </w:p>
          <w:p w14:paraId="347EFE3F" w14:textId="77777777" w:rsidR="00BD272E" w:rsidRDefault="00BD272E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-Permitir que narren historias</w:t>
            </w:r>
          </w:p>
          <w:p w14:paraId="2DE4B5D0" w14:textId="77777777" w:rsidR="00BD272E" w:rsidRDefault="00BD272E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-Descubran objetos, personas y lugares.</w:t>
            </w:r>
          </w:p>
          <w:p w14:paraId="2B1BC402" w14:textId="7BEF3A74" w:rsidR="007B299A" w:rsidRPr="00F550E1" w:rsidRDefault="00BD272E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-Brindar los tiempos necesarios para conversar acerca de un suceso interesante</w:t>
            </w:r>
            <w:r w:rsidR="007B299A"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3CAB" w14:textId="1084E574" w:rsidR="007B299A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72D08" w:rsidRPr="000349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14:paraId="55635B4C" w14:textId="6B0A8BC4" w:rsidR="009B4637" w:rsidRPr="00F550E1" w:rsidRDefault="009B4637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Sociolingüística, nos ayudan a socializar y tener diferentes criterios y tener diferentes opiniones con lo que se está viendo </w:t>
            </w:r>
          </w:p>
          <w:p w14:paraId="4CA38BFA" w14:textId="77777777" w:rsidR="007B299A" w:rsidRDefault="007B299A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5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Teorías psicolingüísticas</w:t>
            </w:r>
          </w:p>
          <w:p w14:paraId="729351F2" w14:textId="74BEDFD2" w:rsidR="009B4637" w:rsidRPr="00F550E1" w:rsidRDefault="009B4637" w:rsidP="00034951">
            <w:pPr>
              <w:spacing w:before="100" w:beforeAutospacing="1" w:after="0" w:line="240" w:lineRule="auto"/>
              <w:ind w:left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Sociocultural, ya que tienen diferentes formas y puede ser diferentes opiniones sobre la cultura y lo pueden socializar para ver las diferencias </w:t>
            </w:r>
          </w:p>
        </w:tc>
      </w:tr>
    </w:tbl>
    <w:p w14:paraId="72A947AD" w14:textId="77777777" w:rsidR="007B299A" w:rsidRDefault="007B299A" w:rsidP="007B299A"/>
    <w:p w14:paraId="095A900F" w14:textId="77777777" w:rsidR="00420507" w:rsidRPr="00420507" w:rsidRDefault="00420507" w:rsidP="00420507">
      <w:pPr>
        <w:spacing w:after="0" w:line="240" w:lineRule="auto"/>
        <w:rPr>
          <w:rFonts w:ascii="Times New Roman" w:eastAsia="Times New Roman" w:hAnsi="Times New Roman" w:cs="Times New Roman"/>
          <w:color w:val="8AB4F8"/>
          <w:sz w:val="24"/>
          <w:szCs w:val="24"/>
          <w:lang w:eastAsia="es-MX"/>
        </w:rPr>
      </w:pPr>
      <w:r w:rsidRPr="0042050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420507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HYPERLINK "https://www.comie.org.mx/congreso/memoriaelectronica/v14/doc/1851.pdf" </w:instrText>
      </w:r>
      <w:r w:rsidRPr="0042050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420507">
        <w:rPr>
          <w:rFonts w:ascii="Times New Roman" w:eastAsia="Times New Roman" w:hAnsi="Times New Roman" w:cs="Times New Roman"/>
          <w:color w:val="8AB4F8"/>
          <w:sz w:val="24"/>
          <w:szCs w:val="24"/>
          <w:lang w:eastAsia="es-MX"/>
        </w:rPr>
        <w:br/>
      </w:r>
    </w:p>
    <w:p w14:paraId="4E4E14BD" w14:textId="77777777" w:rsidR="00420507" w:rsidRPr="00420507" w:rsidRDefault="00420507" w:rsidP="00420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420507">
        <w:rPr>
          <w:rFonts w:ascii="Times New Roman" w:eastAsia="Times New Roman" w:hAnsi="Times New Roman" w:cs="Times New Roman"/>
          <w:sz w:val="21"/>
          <w:szCs w:val="21"/>
          <w:lang w:eastAsia="es-MX"/>
        </w:rPr>
        <w:t xml:space="preserve">https://www.comie.org.mx › congreso › </w:t>
      </w:r>
      <w:proofErr w:type="spellStart"/>
      <w:r w:rsidRPr="00420507">
        <w:rPr>
          <w:rFonts w:ascii="Times New Roman" w:eastAsia="Times New Roman" w:hAnsi="Times New Roman" w:cs="Times New Roman"/>
          <w:sz w:val="21"/>
          <w:szCs w:val="21"/>
          <w:lang w:eastAsia="es-MX"/>
        </w:rPr>
        <w:t>doc</w:t>
      </w:r>
      <w:proofErr w:type="spellEnd"/>
    </w:p>
    <w:p w14:paraId="247E852E" w14:textId="2544F27C" w:rsidR="00420507" w:rsidRPr="00420507" w:rsidRDefault="00420507" w:rsidP="00420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20507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  <w:r w:rsidR="00195BF4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https://es.slideshare.net&gt;que-es-una-situación-didactica.</w:t>
      </w:r>
    </w:p>
    <w:p w14:paraId="708C3AAF" w14:textId="77777777" w:rsidR="00D66994" w:rsidRDefault="00D66994"/>
    <w:sectPr w:rsidR="00D66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9A"/>
    <w:rsid w:val="00034951"/>
    <w:rsid w:val="00195BF4"/>
    <w:rsid w:val="00272D08"/>
    <w:rsid w:val="003D6CC7"/>
    <w:rsid w:val="00420507"/>
    <w:rsid w:val="00557A6C"/>
    <w:rsid w:val="006C5AC8"/>
    <w:rsid w:val="007B299A"/>
    <w:rsid w:val="008578F6"/>
    <w:rsid w:val="00857A96"/>
    <w:rsid w:val="009B4637"/>
    <w:rsid w:val="00B261A7"/>
    <w:rsid w:val="00BD272E"/>
    <w:rsid w:val="00C97D3A"/>
    <w:rsid w:val="00D66994"/>
    <w:rsid w:val="00DF78C4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B77D"/>
  <w15:chartTrackingRefBased/>
  <w15:docId w15:val="{E1879FC8-1206-4F58-8E53-63A9A025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9A"/>
  </w:style>
  <w:style w:type="paragraph" w:styleId="Ttulo3">
    <w:name w:val="heading 3"/>
    <w:basedOn w:val="Normal"/>
    <w:link w:val="Ttulo3Car"/>
    <w:uiPriority w:val="9"/>
    <w:qFormat/>
    <w:rsid w:val="00420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2050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20507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420507"/>
    <w:rPr>
      <w:i/>
      <w:iCs/>
    </w:rPr>
  </w:style>
  <w:style w:type="character" w:customStyle="1" w:styleId="dyjrff">
    <w:name w:val="dyjrff"/>
    <w:basedOn w:val="Fuentedeprrafopredeter"/>
    <w:rsid w:val="0042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SAHORY YUVISELA GONZALEZ GIL</cp:lastModifiedBy>
  <cp:revision>2</cp:revision>
  <dcterms:created xsi:type="dcterms:W3CDTF">2021-12-03T01:54:00Z</dcterms:created>
  <dcterms:modified xsi:type="dcterms:W3CDTF">2021-12-03T01:54:00Z</dcterms:modified>
</cp:coreProperties>
</file>