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849D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b/>
          <w:bCs/>
          <w:sz w:val="24"/>
          <w:szCs w:val="24"/>
          <w:lang w:val="es-419"/>
        </w:rPr>
      </w:pPr>
      <w:r w:rsidRPr="00CE06EB">
        <w:rPr>
          <w:rFonts w:ascii="Comic Sans MS" w:hAnsi="Comic Sans MS"/>
          <w:b/>
          <w:bCs/>
          <w:sz w:val="24"/>
          <w:szCs w:val="24"/>
          <w:lang w:val="es-419"/>
        </w:rPr>
        <w:t>Escuela Normal de Educación Preescolar</w:t>
      </w:r>
    </w:p>
    <w:p w14:paraId="4C3D856D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Licenciatura en Educación Preescolar</w:t>
      </w:r>
    </w:p>
    <w:p w14:paraId="6F349351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Ciclo Escolar 2021-2022</w:t>
      </w:r>
    </w:p>
    <w:p w14:paraId="4F0479C5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noProof/>
          <w:sz w:val="24"/>
          <w:szCs w:val="24"/>
          <w:lang w:val="es-419"/>
        </w:rPr>
        <w:drawing>
          <wp:inline distT="0" distB="0" distL="0" distR="0" wp14:anchorId="3EAD22A4" wp14:editId="1316D50F">
            <wp:extent cx="4498975" cy="11703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05168" w14:textId="6B8A01F5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b/>
          <w:bCs/>
          <w:sz w:val="24"/>
          <w:szCs w:val="24"/>
          <w:lang w:val="es-419"/>
        </w:rPr>
      </w:pPr>
      <w:r>
        <w:rPr>
          <w:rFonts w:ascii="Comic Sans MS" w:hAnsi="Comic Sans MS"/>
          <w:b/>
          <w:bCs/>
          <w:sz w:val="24"/>
          <w:szCs w:val="24"/>
          <w:lang w:val="es-419"/>
        </w:rPr>
        <w:t>Cuestionamientos de vídeos</w:t>
      </w:r>
    </w:p>
    <w:p w14:paraId="61FFF0A0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b/>
          <w:bCs/>
          <w:sz w:val="24"/>
          <w:szCs w:val="24"/>
          <w:lang w:val="es-419"/>
        </w:rPr>
      </w:pPr>
    </w:p>
    <w:p w14:paraId="32BF0F0E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Unidad 3. Las intervenciones didácticas en la enseñanza del lenguaje y alfabetización temprana</w:t>
      </w:r>
    </w:p>
    <w:p w14:paraId="66B15943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Competencias de la unidad:</w:t>
      </w:r>
    </w:p>
    <w:p w14:paraId="3CBA3CA0" w14:textId="77777777" w:rsidR="00791961" w:rsidRPr="00CE06EB" w:rsidRDefault="00791961" w:rsidP="00791961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Plantea las necesidades formativas de los alumnos de acuerdo con sus procesos de desarrollo y de aprendizaje, con base en los nuevos enfoques pedagógicos.</w:t>
      </w:r>
    </w:p>
    <w:p w14:paraId="4FB4A56F" w14:textId="77777777" w:rsidR="00791961" w:rsidRPr="00CE06EB" w:rsidRDefault="00791961" w:rsidP="00791961">
      <w:pPr>
        <w:spacing w:line="360" w:lineRule="auto"/>
        <w:rPr>
          <w:rFonts w:ascii="Comic Sans MS" w:hAnsi="Comic Sans MS"/>
          <w:sz w:val="24"/>
          <w:szCs w:val="24"/>
          <w:lang w:val="es-419"/>
        </w:rPr>
      </w:pPr>
    </w:p>
    <w:p w14:paraId="603B6EF6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 xml:space="preserve">Maestra María Elena Villarreal Márquez </w:t>
      </w:r>
    </w:p>
    <w:p w14:paraId="631CB2D3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 xml:space="preserve">Alumna: </w:t>
      </w:r>
    </w:p>
    <w:p w14:paraId="5F05323A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Daniela Lizeth Trujillo Morales #20</w:t>
      </w:r>
    </w:p>
    <w:p w14:paraId="6564B249" w14:textId="77777777" w:rsidR="00791961" w:rsidRPr="00CE06EB" w:rsidRDefault="00791961" w:rsidP="00791961">
      <w:pPr>
        <w:spacing w:line="360" w:lineRule="auto"/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>Tercer Semestre   Sección A</w:t>
      </w:r>
    </w:p>
    <w:p w14:paraId="631884D7" w14:textId="77777777" w:rsidR="00791961" w:rsidRDefault="00791961" w:rsidP="00791961">
      <w:pPr>
        <w:jc w:val="center"/>
        <w:rPr>
          <w:rFonts w:ascii="Comic Sans MS" w:hAnsi="Comic Sans MS"/>
          <w:sz w:val="24"/>
          <w:szCs w:val="24"/>
          <w:lang w:val="es-419"/>
        </w:rPr>
      </w:pPr>
      <w:r w:rsidRPr="00CE06EB">
        <w:rPr>
          <w:rFonts w:ascii="Comic Sans MS" w:hAnsi="Comic Sans MS"/>
          <w:sz w:val="24"/>
          <w:szCs w:val="24"/>
          <w:lang w:val="es-419"/>
        </w:rPr>
        <w:t xml:space="preserve">Saltillo, Coahuila de Zaragoza. A </w:t>
      </w:r>
      <w:r>
        <w:rPr>
          <w:rFonts w:ascii="Comic Sans MS" w:hAnsi="Comic Sans MS"/>
          <w:sz w:val="24"/>
          <w:szCs w:val="24"/>
          <w:lang w:val="es-419"/>
        </w:rPr>
        <w:t>05</w:t>
      </w:r>
      <w:r w:rsidRPr="00CE06EB">
        <w:rPr>
          <w:rFonts w:ascii="Comic Sans MS" w:hAnsi="Comic Sans MS"/>
          <w:sz w:val="24"/>
          <w:szCs w:val="24"/>
          <w:lang w:val="es-419"/>
        </w:rPr>
        <w:t xml:space="preserve"> de </w:t>
      </w:r>
      <w:r>
        <w:rPr>
          <w:rFonts w:ascii="Comic Sans MS" w:hAnsi="Comic Sans MS"/>
          <w:sz w:val="24"/>
          <w:szCs w:val="24"/>
          <w:lang w:val="es-419"/>
        </w:rPr>
        <w:t>enero</w:t>
      </w:r>
      <w:r w:rsidRPr="00CE06EB">
        <w:rPr>
          <w:rFonts w:ascii="Comic Sans MS" w:hAnsi="Comic Sans MS"/>
          <w:sz w:val="24"/>
          <w:szCs w:val="24"/>
          <w:lang w:val="es-419"/>
        </w:rPr>
        <w:t xml:space="preserve"> de 202</w:t>
      </w:r>
      <w:r>
        <w:rPr>
          <w:rFonts w:ascii="Comic Sans MS" w:hAnsi="Comic Sans MS"/>
          <w:sz w:val="24"/>
          <w:szCs w:val="24"/>
          <w:lang w:val="es-419"/>
        </w:rPr>
        <w:t xml:space="preserve">2. </w:t>
      </w:r>
    </w:p>
    <w:p w14:paraId="1A3C2E18" w14:textId="77777777" w:rsidR="00791961" w:rsidRPr="00791961" w:rsidRDefault="00791961" w:rsidP="00791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791961">
        <w:rPr>
          <w:rFonts w:ascii="Comic Sans MS" w:eastAsia="Times New Roman" w:hAnsi="Comic Sans MS" w:cs="Times New Roman"/>
          <w:color w:val="000000"/>
          <w:sz w:val="24"/>
          <w:szCs w:val="24"/>
          <w:lang w:val="es-MX" w:eastAsia="es-MX"/>
        </w:rPr>
        <w:lastRenderedPageBreak/>
        <w:t>ESCUELA NORMAL DE EDUCACIÓN PREESCOLAR</w:t>
      </w:r>
    </w:p>
    <w:p w14:paraId="11C0FBC1" w14:textId="77777777" w:rsidR="00791961" w:rsidRPr="00791961" w:rsidRDefault="00791961" w:rsidP="00791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791961">
        <w:rPr>
          <w:rFonts w:ascii="Comic Sans MS" w:eastAsia="Times New Roman" w:hAnsi="Comic Sans MS" w:cs="Times New Roman"/>
          <w:color w:val="000000"/>
          <w:sz w:val="24"/>
          <w:szCs w:val="24"/>
          <w:lang w:val="es-MX" w:eastAsia="es-MX"/>
        </w:rPr>
        <w:t>LENGUAJE Y ALFABETIZACIÓN</w:t>
      </w:r>
    </w:p>
    <w:p w14:paraId="3386D4F6" w14:textId="77777777" w:rsidR="00791961" w:rsidRPr="00791961" w:rsidRDefault="00791961" w:rsidP="00791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791961">
        <w:rPr>
          <w:rFonts w:ascii="Comic Sans MS" w:eastAsia="Times New Roman" w:hAnsi="Comic Sans MS" w:cs="Times New Roman"/>
          <w:color w:val="000000"/>
          <w:sz w:val="24"/>
          <w:szCs w:val="24"/>
          <w:lang w:val="es-MX" w:eastAsia="es-MX"/>
        </w:rPr>
        <w:t> </w:t>
      </w:r>
    </w:p>
    <w:tbl>
      <w:tblPr>
        <w:tblW w:w="8500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389"/>
      </w:tblGrid>
      <w:tr w:rsidR="00791961" w:rsidRPr="00791961" w14:paraId="1C00DDC9" w14:textId="77777777" w:rsidTr="00C3141D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9D89" w14:textId="60439119" w:rsidR="00791961" w:rsidRPr="00791961" w:rsidRDefault="00791961" w:rsidP="0079196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919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¿Qué tipo de preguntas favorecen la progresión conceptual de los niños?</w:t>
            </w:r>
          </w:p>
        </w:tc>
        <w:tc>
          <w:tcPr>
            <w:tcW w:w="4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D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D268" w14:textId="77777777" w:rsidR="00D55B0C" w:rsidRDefault="006B7713" w:rsidP="006B77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Las educadoras suelen hacer preguntas que hacen que los niños reflexionen y piensen más</w:t>
            </w:r>
            <w:r w:rsidR="00D55B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; en los vídeos </w:t>
            </w:r>
            <w:r w:rsidR="00CA701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se muestran preguntas conceptuales aclaratorias y aquellas que comprueban conjeturas o supuestos.</w:t>
            </w:r>
          </w:p>
          <w:p w14:paraId="56464ABE" w14:textId="77777777" w:rsidR="00CA7012" w:rsidRDefault="00CA7012" w:rsidP="006B77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Por ejemplo, en una de las secuencias, uno de los niños menciona la palabra “camuflaje” y la docente pide a ese niño que explique al resto de la clase lo que significa, pese a que ella puede explicarles, intenta que sean los propios alumnos los que expresen sus ideas acerca del tema. </w:t>
            </w:r>
          </w:p>
          <w:p w14:paraId="043C6525" w14:textId="4031EF16" w:rsidR="00CA7012" w:rsidRPr="00791961" w:rsidRDefault="00CA7012" w:rsidP="006B77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En cuanto a las preguntas </w:t>
            </w:r>
            <w:r w:rsidR="008811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que comprueban supuestos, las podemos observar en varios de los vídeos, ya que la educadora los invita a </w:t>
            </w:r>
            <w:r w:rsidR="00C314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reflexionar sobre la actividad que están realizando y ver si sus respuestas son correctas.</w:t>
            </w:r>
          </w:p>
        </w:tc>
      </w:tr>
      <w:tr w:rsidR="00791961" w:rsidRPr="00791961" w14:paraId="422EB21F" w14:textId="77777777" w:rsidTr="00C3141D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9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3B56" w14:textId="0F7382CB" w:rsidR="00791961" w:rsidRPr="00791961" w:rsidRDefault="00791961" w:rsidP="0079196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919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983A" w14:textId="77777777" w:rsidR="00791961" w:rsidRDefault="006B7713" w:rsidP="006B7713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Las docentes que aparecen en los vídeos no</w:t>
            </w:r>
            <w:r w:rsidR="00EE615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 les dicen a los niños que las respuestas son incorrectas, sino que los empieza a cuestionar </w:t>
            </w:r>
            <w:r w:rsidR="00FB17F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para que ellos reflexionen </w:t>
            </w:r>
            <w:r w:rsidR="002B290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y lleguen a la respuesta correcta. </w:t>
            </w:r>
          </w:p>
          <w:p w14:paraId="5C7651D8" w14:textId="48884AEB" w:rsidR="002B2902" w:rsidRPr="00791961" w:rsidRDefault="002B2902" w:rsidP="006B77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En la lectura de </w:t>
            </w:r>
            <w:r w:rsidR="0002215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Progresiones de los aprendizajes: prácticas del </w:t>
            </w:r>
            <w:r w:rsidR="0002215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 xml:space="preserve">lenguaje (Kaufman, A.M, y </w:t>
            </w:r>
            <w:proofErr w:type="spellStart"/>
            <w:r w:rsidR="0002215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Caldani</w:t>
            </w:r>
            <w:proofErr w:type="spellEnd"/>
            <w:r w:rsidR="0002215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, F., 2018), </w:t>
            </w:r>
            <w:r w:rsidR="003710C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remarca que la maestra no refuta </w:t>
            </w:r>
            <w:r w:rsidR="00354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la elección del niño, sino que la cuestiona con un argumento que el niño pueda comprender. </w:t>
            </w:r>
          </w:p>
        </w:tc>
      </w:tr>
      <w:tr w:rsidR="00791961" w:rsidRPr="00791961" w14:paraId="3A52C0D1" w14:textId="77777777" w:rsidTr="00C3141D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2342" w14:textId="4940B7A5" w:rsidR="00791961" w:rsidRPr="00791961" w:rsidRDefault="00791961" w:rsidP="0079196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919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¿Cómo usan las participaciones de unos niños para hacer avanzar a otros?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7C9C" w14:textId="77777777" w:rsidR="005E506B" w:rsidRDefault="00381CA5" w:rsidP="002C162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En la lectura de Kaufman y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Caldani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 (2018), se nos menciona que hay 3 niveles de progresión en la lectura</w:t>
            </w:r>
            <w:r w:rsidR="005E50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, por lo tanto, en un grupo hay niños que se pueden encontrar en cada una de estas etapas. </w:t>
            </w:r>
          </w:p>
          <w:p w14:paraId="46796634" w14:textId="367CDB2A" w:rsidR="00791961" w:rsidRPr="005E506B" w:rsidRDefault="002C1624" w:rsidP="002C162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Las reflexiones grupales ayudan a comprobar si la respuesta dada previamente </w:t>
            </w:r>
            <w:r w:rsidR="008B20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es correcta o no. En el caso de la secuencia de la ballena, </w:t>
            </w:r>
            <w:r w:rsidR="00050C0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nos podemos percatar cómo uno de los niños intenta ajustar su lectura a una de las escrituras</w:t>
            </w:r>
            <w:r w:rsidR="008D109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,</w:t>
            </w:r>
            <w:r w:rsidR="00050C0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 pero otro compañero le afirma que la palabra debe de empezar con una letra determinada. </w:t>
            </w:r>
            <w:r w:rsidR="00A01A2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Es decir, e</w:t>
            </w:r>
            <w:r w:rsidR="00E21D3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l niño que se encuentra en un nivel de progresión más </w:t>
            </w:r>
            <w:r w:rsidR="00690A2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avanzado</w:t>
            </w:r>
            <w:r w:rsidR="00E21D3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 ayuda a un compañero que se encuentra en un nivel menor y esto permite sacar adelante la actividad. </w:t>
            </w:r>
          </w:p>
        </w:tc>
      </w:tr>
      <w:tr w:rsidR="00791961" w:rsidRPr="00791961" w14:paraId="1EBF9FBD" w14:textId="77777777" w:rsidTr="00F3171C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9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B425" w14:textId="592081C7" w:rsidR="00791961" w:rsidRPr="00791961" w:rsidRDefault="00791961" w:rsidP="0079196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919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¿Cómo usan los textos que la docente selecciona para problematizar las hipótesis de los niños en el ámbito de la lectura, escritura y sistema de escritura?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CFB9" w14:textId="77777777" w:rsidR="00791961" w:rsidRDefault="00D028E6" w:rsidP="002D4E8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L</w:t>
            </w:r>
            <w:r w:rsidR="005A08A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os textos permiten que los niños vean palabras e intenten leer lo que dice, para ello, se guían con algunas letras. En la lectura de Kaufman y </w:t>
            </w:r>
            <w:proofErr w:type="spellStart"/>
            <w:r w:rsidR="005A08A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Caldani</w:t>
            </w:r>
            <w:proofErr w:type="spellEnd"/>
            <w:r w:rsidR="005A08A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 (2018), nos dice que hay 3 niveles de progresión</w:t>
            </w:r>
            <w:r w:rsidR="00B870D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: no toman en cuenta las características de las escrituras para anticipar el sentido de algunas palabras, </w:t>
            </w:r>
            <w:r w:rsidR="007E054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toman en cuenta la letra inicial de las palabras y/o la longitud para ratificar o rechazar su </w:t>
            </w:r>
            <w:r w:rsidR="007E054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anticipación, y toman en cuenta varias letras para ratificar o rechazar la anticipación.</w:t>
            </w:r>
          </w:p>
          <w:p w14:paraId="1598B760" w14:textId="0807C7A7" w:rsidR="002C27C4" w:rsidRPr="00791961" w:rsidRDefault="007E054F" w:rsidP="002D4E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En los vídeos podemos observar a niños que se encuentran en los 3 niveles, </w:t>
            </w:r>
            <w:r w:rsidR="006C6E8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por lo tanto, los textos </w:t>
            </w:r>
            <w:r w:rsidR="00F84E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seleccionados sirven como elemento visual para que los niños asimilen la escritura de cada palabra y corroborar si la palabra seleccionada es la que buscan, para ello se guían con las letras y la asimilan con </w:t>
            </w:r>
            <w:r w:rsidR="002C27C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una letra de su nombre o como la inicial de algún objeto.</w:t>
            </w:r>
          </w:p>
        </w:tc>
      </w:tr>
      <w:tr w:rsidR="00791961" w:rsidRPr="00791961" w14:paraId="17E3894B" w14:textId="77777777" w:rsidTr="00F3171C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E28A" w14:textId="0A8BB01E" w:rsidR="00791961" w:rsidRPr="00791961" w:rsidRDefault="00791961" w:rsidP="0079196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919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¿Cómo usan las escrituras de los niños para que sus autores las revisen y las mejoren?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898B" w14:textId="3D1DEF37" w:rsidR="00791961" w:rsidRPr="00791961" w:rsidRDefault="002C27C4" w:rsidP="002C27C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Los niños</w:t>
            </w:r>
            <w:r w:rsidR="0029036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 suelen pensar que las escrituras propias son correctas, sabemos que existen diversas etapas en la escritura, las cuales abarcan desde trazos continuos hasta la </w:t>
            </w:r>
            <w:r w:rsidR="005D432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etapa alfabética en la que su escritura es comprensible. En uno de los vídeos vemos como al trabajar en parejas, las niñas se apoyan entre ellas para escribir una frase, </w:t>
            </w:r>
            <w:r w:rsidR="006C1E4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 xml:space="preserve">separan la palabra por sílabas y luego escriben las letras que creen que la conforman, es un trabajo colaborativo que les permite tener una frase más completa y compresible para que su maestra pueda leerla. </w:t>
            </w:r>
            <w:r w:rsidR="00791961" w:rsidRPr="007919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</w:tbl>
    <w:p w14:paraId="74F97083" w14:textId="77777777" w:rsidR="00725B54" w:rsidRDefault="00725B54"/>
    <w:sectPr w:rsidR="00725B54" w:rsidSect="002C162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2695"/>
    <w:multiLevelType w:val="hybridMultilevel"/>
    <w:tmpl w:val="B10EE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61"/>
    <w:rsid w:val="00022156"/>
    <w:rsid w:val="00050C07"/>
    <w:rsid w:val="001F6459"/>
    <w:rsid w:val="00290364"/>
    <w:rsid w:val="002B2902"/>
    <w:rsid w:val="002C1624"/>
    <w:rsid w:val="002C27C4"/>
    <w:rsid w:val="002D4E84"/>
    <w:rsid w:val="00354025"/>
    <w:rsid w:val="003710C2"/>
    <w:rsid w:val="00381CA5"/>
    <w:rsid w:val="00397524"/>
    <w:rsid w:val="005A08A2"/>
    <w:rsid w:val="005D432C"/>
    <w:rsid w:val="005E506B"/>
    <w:rsid w:val="00603F47"/>
    <w:rsid w:val="00690A2D"/>
    <w:rsid w:val="006B7713"/>
    <w:rsid w:val="006C1E45"/>
    <w:rsid w:val="006C6E8E"/>
    <w:rsid w:val="00725B54"/>
    <w:rsid w:val="00791961"/>
    <w:rsid w:val="007A4D14"/>
    <w:rsid w:val="007E054F"/>
    <w:rsid w:val="008811E6"/>
    <w:rsid w:val="008B208C"/>
    <w:rsid w:val="008D109A"/>
    <w:rsid w:val="00A01A2F"/>
    <w:rsid w:val="00B870D8"/>
    <w:rsid w:val="00C3141D"/>
    <w:rsid w:val="00CA7012"/>
    <w:rsid w:val="00D028E6"/>
    <w:rsid w:val="00D55B0C"/>
    <w:rsid w:val="00E21D37"/>
    <w:rsid w:val="00EE6151"/>
    <w:rsid w:val="00F3171C"/>
    <w:rsid w:val="00F4227A"/>
    <w:rsid w:val="00F84E70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26BD"/>
  <w15:chartTrackingRefBased/>
  <w15:docId w15:val="{1AABA5C4-AF95-43D1-992E-95C99F8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6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677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38</cp:revision>
  <dcterms:created xsi:type="dcterms:W3CDTF">2022-01-05T16:14:00Z</dcterms:created>
  <dcterms:modified xsi:type="dcterms:W3CDTF">2022-01-06T05:17:00Z</dcterms:modified>
</cp:coreProperties>
</file>