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332c33"/>
          <w:sz w:val="32"/>
          <w:szCs w:val="32"/>
        </w:rPr>
      </w:pPr>
      <w:r w:rsidDel="00000000" w:rsidR="00000000" w:rsidRPr="00000000">
        <w:rPr>
          <w:b w:val="1"/>
          <w:color w:val="332c33"/>
          <w:sz w:val="32"/>
          <w:szCs w:val="32"/>
          <w:rtl w:val="0"/>
        </w:rPr>
        <w:t xml:space="preserve">Escuela Normal de Educación Preescolar                                  </w:t>
      </w:r>
      <w:r w:rsidDel="00000000" w:rsidR="00000000" w:rsidRPr="00000000">
        <w:rPr>
          <w:color w:val="332c33"/>
          <w:sz w:val="32"/>
          <w:szCs w:val="32"/>
          <w:rtl w:val="0"/>
        </w:rPr>
        <w:t xml:space="preserve">Licenciatura en educación preescolar                                                CICLO ESCOLAR 2020 - 2021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b w:val="1"/>
          <w:color w:val="332c3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2143125</wp:posOffset>
            </wp:positionH>
            <wp:positionV relativeFrom="paragraph">
              <wp:posOffset>56514</wp:posOffset>
            </wp:positionV>
            <wp:extent cx="1438808" cy="2160301"/>
            <wp:effectExtent b="0" l="0" r="0" t="0"/>
            <wp:wrapNone/>
            <wp:docPr descr="Interfaz de usuario gráfica&#10;&#10;Descripción generada automáticamente" id="2" name="image2.png"/>
            <a:graphic>
              <a:graphicData uri="http://schemas.openxmlformats.org/drawingml/2006/picture">
                <pic:pic>
                  <pic:nvPicPr>
                    <pic:cNvPr descr="Interfaz de usuario gráfica&#10;&#10;Descripción generada automáticamente" id="0" name="image2.png"/>
                    <pic:cNvPicPr preferRelativeResize="0"/>
                  </pic:nvPicPr>
                  <pic:blipFill>
                    <a:blip r:embed="rId6"/>
                    <a:srcRect b="28615" l="19071" r="60644" t="25320"/>
                    <a:stretch>
                      <a:fillRect/>
                    </a:stretch>
                  </pic:blipFill>
                  <pic:spPr>
                    <a:xfrm>
                      <a:off x="0" y="0"/>
                      <a:ext cx="1438808" cy="21603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b w:val="1"/>
          <w:color w:val="332c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rPr>
          <w:b w:val="1"/>
          <w:color w:val="332c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rPr>
          <w:b w:val="1"/>
          <w:color w:val="332c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rPr>
          <w:b w:val="1"/>
          <w:color w:val="332c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0" w:lineRule="auto"/>
        <w:rPr>
          <w:b w:val="1"/>
          <w:color w:val="332c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rPr>
          <w:b w:val="1"/>
          <w:color w:val="332c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b w:val="1"/>
          <w:color w:val="332c33"/>
          <w:sz w:val="28"/>
          <w:szCs w:val="28"/>
        </w:rPr>
      </w:pPr>
      <w:r w:rsidDel="00000000" w:rsidR="00000000" w:rsidRPr="00000000">
        <w:rPr>
          <w:b w:val="1"/>
          <w:color w:val="332c33"/>
          <w:sz w:val="28"/>
          <w:szCs w:val="28"/>
          <w:rtl w:val="0"/>
        </w:rPr>
        <w:t xml:space="preserve">Curso                                                                                                         </w:t>
      </w:r>
      <w:r w:rsidDel="00000000" w:rsidR="00000000" w:rsidRPr="00000000">
        <w:rPr>
          <w:color w:val="332c33"/>
          <w:sz w:val="32"/>
          <w:szCs w:val="32"/>
          <w:rtl w:val="0"/>
        </w:rPr>
        <w:t xml:space="preserve">Educación Física y Hábitos Saludables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b w:val="1"/>
          <w:color w:val="332c33"/>
          <w:sz w:val="28"/>
          <w:szCs w:val="28"/>
        </w:rPr>
      </w:pPr>
      <w:r w:rsidDel="00000000" w:rsidR="00000000" w:rsidRPr="00000000">
        <w:rPr>
          <w:b w:val="1"/>
          <w:color w:val="332c33"/>
          <w:sz w:val="28"/>
          <w:szCs w:val="28"/>
          <w:rtl w:val="0"/>
        </w:rPr>
        <w:t xml:space="preserve">Maestra                                                                                                                </w:t>
      </w:r>
      <w:r w:rsidDel="00000000" w:rsidR="00000000" w:rsidRPr="00000000">
        <w:rPr>
          <w:color w:val="332c33"/>
          <w:sz w:val="32"/>
          <w:szCs w:val="32"/>
          <w:rtl w:val="0"/>
        </w:rPr>
        <w:t xml:space="preserve">Yixie Karelia Laguna Montañez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b w:val="1"/>
          <w:color w:val="332c33"/>
          <w:sz w:val="28"/>
          <w:szCs w:val="28"/>
        </w:rPr>
      </w:pPr>
      <w:r w:rsidDel="00000000" w:rsidR="00000000" w:rsidRPr="00000000">
        <w:rPr>
          <w:b w:val="1"/>
          <w:color w:val="332c33"/>
          <w:sz w:val="28"/>
          <w:szCs w:val="28"/>
          <w:rtl w:val="0"/>
        </w:rPr>
        <w:t xml:space="preserve">Presentado por                                                                                               </w:t>
      </w:r>
      <w:r w:rsidDel="00000000" w:rsidR="00000000" w:rsidRPr="00000000">
        <w:rPr>
          <w:color w:val="332c33"/>
          <w:sz w:val="28"/>
          <w:szCs w:val="28"/>
          <w:rtl w:val="0"/>
        </w:rPr>
        <w:t xml:space="preserve">Sofía Mali Siller Valdés</w:t>
      </w:r>
      <w:r w:rsidDel="00000000" w:rsidR="00000000" w:rsidRPr="00000000">
        <w:rPr>
          <w:b w:val="1"/>
          <w:color w:val="332c33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332c33"/>
          <w:sz w:val="32"/>
          <w:szCs w:val="32"/>
          <w:rtl w:val="0"/>
        </w:rPr>
        <w:t xml:space="preserve">N.L. 18</w:t>
      </w:r>
      <w:r w:rsidDel="00000000" w:rsidR="00000000" w:rsidRPr="00000000">
        <w:rPr>
          <w:b w:val="1"/>
          <w:color w:val="332c33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C">
      <w:pPr>
        <w:spacing w:before="240" w:line="240" w:lineRule="auto"/>
        <w:jc w:val="center"/>
        <w:rPr>
          <w:b w:val="1"/>
          <w:color w:val="332c33"/>
          <w:sz w:val="28"/>
          <w:szCs w:val="28"/>
        </w:rPr>
      </w:pPr>
      <w:r w:rsidDel="00000000" w:rsidR="00000000" w:rsidRPr="00000000">
        <w:rPr>
          <w:b w:val="1"/>
          <w:color w:val="332c33"/>
          <w:sz w:val="28"/>
          <w:szCs w:val="28"/>
          <w:rtl w:val="0"/>
        </w:rPr>
        <w:t xml:space="preserve">Evidencia Global Narrativa Digital </w:t>
      </w:r>
    </w:p>
    <w:p w:rsidR="00000000" w:rsidDel="00000000" w:rsidP="00000000" w:rsidRDefault="00000000" w:rsidRPr="00000000" w14:paraId="0000000D">
      <w:pPr>
        <w:spacing w:after="0" w:before="240" w:line="240" w:lineRule="auto"/>
        <w:rPr>
          <w:b w:val="1"/>
          <w:color w:val="332c33"/>
          <w:sz w:val="24"/>
          <w:szCs w:val="24"/>
        </w:rPr>
      </w:pPr>
      <w:r w:rsidDel="00000000" w:rsidR="00000000" w:rsidRPr="00000000">
        <w:rPr>
          <w:b w:val="1"/>
          <w:color w:val="332c33"/>
          <w:sz w:val="24"/>
          <w:szCs w:val="24"/>
          <w:rtl w:val="0"/>
        </w:rPr>
        <w:t xml:space="preserve">Competencias de la Unidad de Aprendizaje: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  <w:rtl w:val="0"/>
        </w:rPr>
        <w:t xml:space="preserve">Detecta los procesos de aprendizaje de sus alumnos para favorecer su desarrollo cognitivo y socioemocional.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  <w:rtl w:val="0"/>
        </w:rPr>
        <w:t xml:space="preserve">Aplica el plan y programas de estudio para alcanzar los propósitos educativos y contribuir al pleno desenvolvimiento de las capacidades de sus alumnos.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2c33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  <w:rtl w:val="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  <w:rtl w:val="0"/>
        </w:rPr>
        <w:t xml:space="preserve">Emplea la evaluación para intervenir en los diferentes ámbitos y momentos de la tarea educativa para mejorar los aprendizajes de sus alumnos.                            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  <w:rtl w:val="0"/>
        </w:rPr>
        <w:t xml:space="preserve">Integra recursos de la investigación educativa para enriquecer su práctica profesional, expresando su interés por el conocimiento, la ciencia y la mejora de la educación.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  <w:rtl w:val="0"/>
        </w:rPr>
        <w:t xml:space="preserve">Actúa de manera ética ante la diversidad de situaciones que se presentan en la práctica profesional.          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color w:val="332c33"/>
          <w:sz w:val="24"/>
          <w:szCs w:val="24"/>
        </w:rPr>
      </w:pPr>
      <w:r w:rsidDel="00000000" w:rsidR="00000000" w:rsidRPr="00000000">
        <w:rPr>
          <w:b w:val="1"/>
          <w:color w:val="332c33"/>
          <w:sz w:val="24"/>
          <w:szCs w:val="24"/>
          <w:rtl w:val="0"/>
        </w:rPr>
        <w:t xml:space="preserve">SALTILLO, COAHUILA DE ZARAGOZA 17 DE ENERO DEL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Link del Video </w:t>
      </w:r>
    </w:p>
    <w:p w:rsidR="00000000" w:rsidDel="00000000" w:rsidP="00000000" w:rsidRDefault="00000000" w:rsidRPr="00000000" w14:paraId="00000016">
      <w:pPr>
        <w:rPr>
          <w:b w:val="1"/>
          <w:sz w:val="44"/>
          <w:szCs w:val="44"/>
        </w:rPr>
      </w:pPr>
      <w:hyperlink r:id="rId7">
        <w:r w:rsidDel="00000000" w:rsidR="00000000" w:rsidRPr="00000000">
          <w:rPr>
            <w:b w:val="1"/>
            <w:color w:val="0563c1"/>
            <w:sz w:val="44"/>
            <w:szCs w:val="44"/>
            <w:u w:val="single"/>
            <w:rtl w:val="0"/>
          </w:rPr>
          <w:t xml:space="preserve">https://youtu.be/_Ad68QysB7o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Referencias Bibliográficas 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Diario Oficial de la Federación (2018). Acuerdo número 14/07/18 por el que se establecen los planes y programas de estudio de las licenciaturas para la formación de maestros de educación básica que se indican. Recuperado de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http://www.dof.gob.mx/nota_detalle.php?codigo=5533902&amp;fecha=03/08/2018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RUIZ DE VELASCO, Á.; ABAD, J. (2011):El juego simbólico. Barcelona. Graó.</w:t>
      </w:r>
    </w:p>
    <w:p w:rsidR="00000000" w:rsidDel="00000000" w:rsidP="00000000" w:rsidRDefault="00000000" w:rsidRPr="00000000" w14:paraId="00000032">
      <w:pPr>
        <w:spacing w:line="360" w:lineRule="auto"/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 (2017) Aprendizajes Clave para la Educación Integral. Educación Preescolar. Secretaría de Educación Pública. Recuperado de: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https://www.planyprogramasdestudio.sep.gob.mx/descargables/biblioteca/preescolar/1LpM-Preescolar-DIGITAL.pdfTobón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33">
      <w:pPr>
        <w:spacing w:line="360" w:lineRule="auto"/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Tobón M (2010). Formación integral y competencia, Pensamiento Complejo, diseño curricular y didáctica. ECOE. Bogotá Colombia.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  <w:sectPr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ESCUELA NORMAL DE EDUCACIÓN PREESCOLAR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-24129</wp:posOffset>
            </wp:positionH>
            <wp:positionV relativeFrom="paragraph">
              <wp:posOffset>-775334</wp:posOffset>
            </wp:positionV>
            <wp:extent cx="1984957" cy="7239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77448" l="7145" r="58418" t="5144"/>
                    <a:stretch>
                      <a:fillRect/>
                    </a:stretch>
                  </pic:blipFill>
                  <pic:spPr>
                    <a:xfrm>
                      <a:off x="0" y="0"/>
                      <a:ext cx="1984957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Curso: Educación Física y hábitos saludables 7 º semestre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Evaluación Global</w:t>
      </w:r>
    </w:p>
    <w:tbl>
      <w:tblPr>
        <w:tblStyle w:val="Table1"/>
        <w:tblW w:w="14317.0" w:type="dxa"/>
        <w:jc w:val="left"/>
        <w:tblInd w:w="-654.0000000000001" w:type="dxa"/>
        <w:tblLayout w:type="fixed"/>
        <w:tblLook w:val="0400"/>
      </w:tblPr>
      <w:tblGrid>
        <w:gridCol w:w="1553"/>
        <w:gridCol w:w="1977"/>
        <w:gridCol w:w="2039"/>
        <w:gridCol w:w="2220"/>
        <w:gridCol w:w="2129"/>
        <w:gridCol w:w="2129"/>
        <w:gridCol w:w="2270"/>
        <w:tblGridChange w:id="0">
          <w:tblGrid>
            <w:gridCol w:w="1553"/>
            <w:gridCol w:w="1977"/>
            <w:gridCol w:w="2039"/>
            <w:gridCol w:w="2220"/>
            <w:gridCol w:w="2129"/>
            <w:gridCol w:w="2129"/>
            <w:gridCol w:w="227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RÚBRICA:     Narrativa Digital         Conocimiento del Tema   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Propósito: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identificar 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articular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los conocimientos disciplinarios, didácticos y científico-tecnológicos adquiridos por los estudiantes del séptimo semestre para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desarrollo de las competencias profesionales adquiridas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.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2f2f2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Referentes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se muestra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Básico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Regular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Satisfactorio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Competente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Evidencia: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Realiza una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narrativa digital en donde explique los conocimientos adquiridos en semestre y el desarrollo de las competencias profesionales adquiridas.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Expone sin vincular las competencias profesionales del curso sin análisis y reflexión, poca vinculación con las estrategias, falta de aportación personal.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Carece de referentes de evaluación.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Expone sin vincular las competencias profesionales del curso, poca reflexión personal.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Nombra algunas estrategias didácticas sin argumento pertinente, breve análisis y aportaciones.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aplica referentes de evaluación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Recupera las competencias profesionales del curso, menciona cada una de las estrategias utilizadas con análisis y reflexión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Argumenta con cierto análisis    y aplica algún procedimiento de 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 la importancia de la transversalidad de las competencias adquiridas (solo enuncia, no argumenta ni profundiza su relación).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Argumenta con análisis y reflexión, presenta algunas aportaciones y sugerencias personales.  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Considera algunos aspectos de la evaluación en la práctica educativa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Explica la adquisición de las competencias profesionales   de manera articulada.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Argumenta con base en referentes teóricos la aplicación de estrategias didácticas 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Integra la evaluación como un proceso importante del quehacer docente.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Genera una reflexión de la importancia de la transversalidad de las competencias adquiridas al aplicar estrategias educativas 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Argumenta con base en referentes teóricos la aplicación de estrategias y el desarrollo de habilidades físico-motrices, perceptivo motrices y socio motrices.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Reconoce la evaluación como un proceso importante del quehacer docente 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e2f3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6C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e2f3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92.0" w:type="dxa"/>
              <w:bottom w:w="72.0" w:type="dxa"/>
              <w:right w:w="192.0" w:type="dxa"/>
            </w:tcMar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204.0" w:type="dxa"/>
        <w:jc w:val="left"/>
        <w:tblInd w:w="-6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45"/>
        <w:gridCol w:w="1608"/>
        <w:gridCol w:w="1582"/>
        <w:gridCol w:w="5569"/>
        <w:tblGridChange w:id="0">
          <w:tblGrid>
            <w:gridCol w:w="5445"/>
            <w:gridCol w:w="1608"/>
            <w:gridCol w:w="1582"/>
            <w:gridCol w:w="5569"/>
          </w:tblGrid>
        </w:tblGridChange>
      </w:tblGrid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85"/>
              </w:tabs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Aspectos Generales   </w:t>
            </w:r>
          </w:p>
          <w:p w:rsidR="00000000" w:rsidDel="00000000" w:rsidP="00000000" w:rsidRDefault="00000000" w:rsidRPr="00000000" w14:paraId="00000076">
            <w:pPr>
              <w:tabs>
                <w:tab w:val="left" w:pos="14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1485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 lo hace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1485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lo hace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1485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Presentación digital 10%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Todas la integrantes del jardín de práctica participan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-Tiempo para ejecutar la presentación 6 a 8 minutos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-Ejecutiva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-Ortografía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-Imágenes ejecutivas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-Creatividad y originalidad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Expresión oral   10%</w:t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-Fluidez</w:t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-Dicción</w:t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-Seguridad al hablar</w:t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-Volumen de voz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pos="14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701" w:top="1701" w:left="1418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www.planyprogramasdestudio.sep.gob.mx/descargables/biblioteca/preescolar/1LpM-Preescolar-DIGITAL.pdfTob%C3%B3n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youtu.be/_Ad68QysB7o" TargetMode="External"/><Relationship Id="rId8" Type="http://schemas.openxmlformats.org/officeDocument/2006/relationships/hyperlink" Target="http://www.dof.gob.mx/nota_detalle.php?codigo=5533902&amp;fecha=03/08/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