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09" w:rsidRPr="00E55409" w:rsidRDefault="00E55409" w:rsidP="00E55409">
      <w:pPr>
        <w:spacing w:after="0" w:line="240" w:lineRule="auto"/>
        <w:rPr>
          <w:rFonts w:ascii="Times New Roman" w:eastAsia="Times New Roman" w:hAnsi="Times New Roman" w:cs="Times New Roman"/>
          <w:color w:val="000000" w:themeColor="text1"/>
          <w:sz w:val="24"/>
          <w:szCs w:val="24"/>
          <w:lang w:eastAsia="es-MX"/>
        </w:rPr>
      </w:pPr>
      <w:r w:rsidRPr="00E55409">
        <w:rPr>
          <w:rFonts w:ascii="Arial" w:eastAsia="Times New Roman" w:hAnsi="Arial" w:cs="Arial"/>
          <w:color w:val="000000" w:themeColor="text1"/>
          <w:sz w:val="27"/>
          <w:szCs w:val="27"/>
          <w:shd w:val="clear" w:color="auto" w:fill="FFFFFF"/>
          <w:lang w:eastAsia="es-MX"/>
        </w:rPr>
        <w:t>Qué es la UNESCO</w:t>
      </w:r>
      <w:r w:rsidRPr="00E55409">
        <w:rPr>
          <w:rFonts w:ascii="Arial" w:eastAsia="Times New Roman" w:hAnsi="Arial" w:cs="Arial"/>
          <w:color w:val="000000" w:themeColor="text1"/>
          <w:sz w:val="20"/>
          <w:szCs w:val="20"/>
          <w:shd w:val="clear" w:color="auto" w:fill="FFFFFF"/>
          <w:lang w:eastAsia="es-MX"/>
        </w:rPr>
        <w:br/>
      </w:r>
      <w:proofErr w:type="spellStart"/>
      <w:r w:rsidRPr="00E55409">
        <w:rPr>
          <w:rFonts w:ascii="Arial" w:eastAsia="Times New Roman" w:hAnsi="Arial" w:cs="Arial"/>
          <w:color w:val="000000" w:themeColor="text1"/>
          <w:sz w:val="20"/>
          <w:szCs w:val="20"/>
          <w:shd w:val="clear" w:color="auto" w:fill="FFFFFF"/>
          <w:lang w:eastAsia="es-MX"/>
        </w:rPr>
        <w:t>UNESCO</w:t>
      </w:r>
      <w:proofErr w:type="spellEnd"/>
      <w:r w:rsidRPr="00E55409">
        <w:rPr>
          <w:rFonts w:ascii="Arial" w:eastAsia="Times New Roman" w:hAnsi="Arial" w:cs="Arial"/>
          <w:color w:val="000000" w:themeColor="text1"/>
          <w:sz w:val="20"/>
          <w:szCs w:val="20"/>
          <w:shd w:val="clear" w:color="auto" w:fill="FFFFFF"/>
          <w:lang w:eastAsia="es-MX"/>
        </w:rPr>
        <w:t>, Organización de las Naciones Unidas para la Educación, la Ciencia y la Cultura.</w:t>
      </w:r>
      <w:r w:rsidRPr="00E55409">
        <w:rPr>
          <w:rFonts w:ascii="Arial" w:eastAsia="Times New Roman" w:hAnsi="Arial" w:cs="Arial"/>
          <w:color w:val="000000" w:themeColor="text1"/>
          <w:sz w:val="20"/>
          <w:szCs w:val="20"/>
          <w:shd w:val="clear" w:color="auto" w:fill="FFFFFF"/>
          <w:lang w:eastAsia="es-MX"/>
        </w:rPr>
        <w:br/>
      </w:r>
      <w:r w:rsidRPr="00E55409">
        <w:rPr>
          <w:rFonts w:ascii="Arial" w:eastAsia="Times New Roman" w:hAnsi="Arial" w:cs="Arial"/>
          <w:color w:val="000000" w:themeColor="text1"/>
          <w:sz w:val="20"/>
          <w:szCs w:val="20"/>
          <w:shd w:val="clear" w:color="auto" w:fill="FFFFFF"/>
          <w:lang w:eastAsia="es-MX"/>
        </w:rPr>
        <w:br/>
        <w:t>La </w:t>
      </w:r>
      <w:hyperlink r:id="rId6" w:history="1">
        <w:r w:rsidRPr="00E55409">
          <w:rPr>
            <w:rFonts w:ascii="Arial" w:eastAsia="Times New Roman" w:hAnsi="Arial" w:cs="Arial"/>
            <w:color w:val="000000" w:themeColor="text1"/>
            <w:sz w:val="20"/>
            <w:szCs w:val="20"/>
            <w:u w:val="single"/>
            <w:shd w:val="clear" w:color="auto" w:fill="FFFFFF"/>
            <w:lang w:eastAsia="es-MX"/>
          </w:rPr>
          <w:t>constitución</w:t>
        </w:r>
      </w:hyperlink>
      <w:r w:rsidRPr="00E55409">
        <w:rPr>
          <w:rFonts w:ascii="Arial" w:eastAsia="Times New Roman" w:hAnsi="Arial" w:cs="Arial"/>
          <w:color w:val="000000" w:themeColor="text1"/>
          <w:sz w:val="20"/>
          <w:szCs w:val="20"/>
          <w:shd w:val="clear" w:color="auto" w:fill="FFFFFF"/>
          <w:lang w:eastAsia="es-MX"/>
        </w:rPr>
        <w:t> de la Organización de las Naciones Unidas para la Educación, la Ciencia y la Cultura fue aprobada por la Conferencia de Londres de noviembre de 1945 y entró en vigor el 4 de noviembre de 1946, una vez que 20 Estados hubieron depositado sus instrumentos de aceptación.</w:t>
      </w:r>
      <w:r w:rsidRPr="00E55409">
        <w:rPr>
          <w:rFonts w:ascii="Arial" w:eastAsia="Times New Roman" w:hAnsi="Arial" w:cs="Arial"/>
          <w:color w:val="000000" w:themeColor="text1"/>
          <w:sz w:val="20"/>
          <w:szCs w:val="20"/>
          <w:shd w:val="clear" w:color="auto" w:fill="FFFFFF"/>
          <w:lang w:eastAsia="es-MX"/>
        </w:rPr>
        <w:br/>
      </w:r>
      <w:r w:rsidRPr="00E55409">
        <w:rPr>
          <w:rFonts w:ascii="Arial" w:eastAsia="Times New Roman" w:hAnsi="Arial" w:cs="Arial"/>
          <w:color w:val="000000" w:themeColor="text1"/>
          <w:sz w:val="20"/>
          <w:szCs w:val="20"/>
          <w:shd w:val="clear" w:color="auto" w:fill="FFFFFF"/>
          <w:lang w:eastAsia="es-MX"/>
        </w:rPr>
        <w:br/>
        <w:t>En la actualidad hay 188 </w:t>
      </w:r>
      <w:hyperlink r:id="rId7" w:history="1">
        <w:r w:rsidRPr="00E55409">
          <w:rPr>
            <w:rFonts w:ascii="Arial" w:eastAsia="Times New Roman" w:hAnsi="Arial" w:cs="Arial"/>
            <w:color w:val="000000" w:themeColor="text1"/>
            <w:sz w:val="20"/>
            <w:szCs w:val="20"/>
            <w:u w:val="single"/>
            <w:shd w:val="clear" w:color="auto" w:fill="FFFFFF"/>
            <w:lang w:eastAsia="es-MX"/>
          </w:rPr>
          <w:t>Estados Miembros</w:t>
        </w:r>
      </w:hyperlink>
      <w:r w:rsidRPr="00E55409">
        <w:rPr>
          <w:rFonts w:ascii="Arial" w:eastAsia="Times New Roman" w:hAnsi="Arial" w:cs="Arial"/>
          <w:color w:val="000000" w:themeColor="text1"/>
          <w:sz w:val="20"/>
          <w:szCs w:val="20"/>
          <w:shd w:val="clear" w:color="auto" w:fill="FFFFFF"/>
          <w:lang w:eastAsia="es-MX"/>
        </w:rPr>
        <w:t> de la UNESCO (al 19 de octubre de 1999).</w:t>
      </w:r>
      <w:r w:rsidRPr="00E55409">
        <w:rPr>
          <w:rFonts w:ascii="Arial" w:eastAsia="Times New Roman" w:hAnsi="Arial" w:cs="Arial"/>
          <w:color w:val="000000" w:themeColor="text1"/>
          <w:sz w:val="20"/>
          <w:szCs w:val="20"/>
          <w:shd w:val="clear" w:color="auto" w:fill="FFFFFF"/>
          <w:lang w:eastAsia="es-MX"/>
        </w:rPr>
        <w:br/>
      </w:r>
      <w:r w:rsidRPr="00E55409">
        <w:rPr>
          <w:rFonts w:ascii="Arial" w:eastAsia="Times New Roman" w:hAnsi="Arial" w:cs="Arial"/>
          <w:color w:val="000000" w:themeColor="text1"/>
          <w:sz w:val="20"/>
          <w:szCs w:val="20"/>
          <w:shd w:val="clear" w:color="auto" w:fill="FFFFFF"/>
          <w:lang w:eastAsia="es-MX"/>
        </w:rPr>
        <w:br/>
        <w:t>El principal objetivo de la UNESCO es contribuir al mantenimiento de la paz y la seguridad en el mundo promoviendo, a través de la educación, la ciencia, la cultura y la comunicación, la colaboración entre las naciones, a fin de garantizar el respeto universal de la justicia, el imperio de la ley, los derechos humanos y las libertades fundamentales que la Carta de las Naciones Unidas reconoce a todos los pueblos sin distinción de raza, sexo, idioma o religión.</w:t>
      </w:r>
      <w:r w:rsidRPr="00E55409">
        <w:rPr>
          <w:rFonts w:ascii="Arial" w:eastAsia="Times New Roman" w:hAnsi="Arial" w:cs="Arial"/>
          <w:color w:val="000000" w:themeColor="text1"/>
          <w:sz w:val="20"/>
          <w:szCs w:val="20"/>
          <w:shd w:val="clear" w:color="auto" w:fill="FFFFFF"/>
          <w:lang w:eastAsia="es-MX"/>
        </w:rPr>
        <w:br/>
      </w:r>
      <w:r w:rsidRPr="00E55409">
        <w:rPr>
          <w:rFonts w:ascii="Arial" w:eastAsia="Times New Roman" w:hAnsi="Arial" w:cs="Arial"/>
          <w:color w:val="000000" w:themeColor="text1"/>
          <w:sz w:val="20"/>
          <w:szCs w:val="20"/>
          <w:shd w:val="clear" w:color="auto" w:fill="FFFFFF"/>
          <w:lang w:eastAsia="es-MX"/>
        </w:rPr>
        <w:br/>
        <w:t>Para cumplir este mandato, la UNESCO desempeña cinco funciones principales:</w:t>
      </w:r>
      <w:r w:rsidRPr="00E55409">
        <w:rPr>
          <w:rFonts w:ascii="Arial" w:eastAsia="Times New Roman" w:hAnsi="Arial" w:cs="Arial"/>
          <w:color w:val="000000" w:themeColor="text1"/>
          <w:sz w:val="20"/>
          <w:szCs w:val="20"/>
          <w:shd w:val="clear" w:color="auto" w:fill="FFFFFF"/>
          <w:lang w:eastAsia="es-MX"/>
        </w:rPr>
        <w:br/>
      </w:r>
    </w:p>
    <w:p w:rsidR="00E55409" w:rsidRPr="00E55409" w:rsidRDefault="00E55409" w:rsidP="00E5540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r w:rsidRPr="00E55409">
        <w:rPr>
          <w:rFonts w:ascii="Arial" w:eastAsia="Times New Roman" w:hAnsi="Arial" w:cs="Arial"/>
          <w:b/>
          <w:bCs/>
          <w:color w:val="000000" w:themeColor="text1"/>
          <w:sz w:val="20"/>
          <w:szCs w:val="20"/>
          <w:lang w:eastAsia="es-MX"/>
        </w:rPr>
        <w:t>Estudios prospectivos:</w:t>
      </w:r>
      <w:r w:rsidRPr="00E55409">
        <w:rPr>
          <w:rFonts w:ascii="Arial" w:eastAsia="Times New Roman" w:hAnsi="Arial" w:cs="Arial"/>
          <w:color w:val="000000" w:themeColor="text1"/>
          <w:sz w:val="20"/>
          <w:szCs w:val="20"/>
          <w:lang w:eastAsia="es-MX"/>
        </w:rPr>
        <w:t> es decir, las formas de educación, ciencia, cultura y comunicación para el mundo del mañana</w:t>
      </w:r>
    </w:p>
    <w:p w:rsidR="00E55409" w:rsidRPr="00E55409" w:rsidRDefault="00E55409" w:rsidP="00E5540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r w:rsidRPr="00E55409">
        <w:rPr>
          <w:rFonts w:ascii="Arial" w:eastAsia="Times New Roman" w:hAnsi="Arial" w:cs="Arial"/>
          <w:b/>
          <w:bCs/>
          <w:color w:val="000000" w:themeColor="text1"/>
          <w:sz w:val="20"/>
          <w:szCs w:val="20"/>
          <w:lang w:eastAsia="es-MX"/>
        </w:rPr>
        <w:t>El adelanto</w:t>
      </w:r>
      <w:r w:rsidRPr="00E55409">
        <w:rPr>
          <w:rFonts w:ascii="Arial" w:eastAsia="Times New Roman" w:hAnsi="Arial" w:cs="Arial"/>
          <w:color w:val="000000" w:themeColor="text1"/>
          <w:sz w:val="20"/>
          <w:szCs w:val="20"/>
          <w:lang w:eastAsia="es-MX"/>
        </w:rPr>
        <w:t>, la transferencia y el intercambio de los conocimientos, basados primordialmente en la investigación, la capacitación y la enseñanza</w:t>
      </w:r>
    </w:p>
    <w:p w:rsidR="00E55409" w:rsidRPr="00E55409" w:rsidRDefault="00E55409" w:rsidP="00E5540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hyperlink r:id="rId8" w:history="1">
        <w:r w:rsidRPr="00E55409">
          <w:rPr>
            <w:rFonts w:ascii="Arial" w:eastAsia="Times New Roman" w:hAnsi="Arial" w:cs="Arial"/>
            <w:b/>
            <w:bCs/>
            <w:color w:val="000000" w:themeColor="text1"/>
            <w:sz w:val="20"/>
            <w:szCs w:val="20"/>
            <w:u w:val="single"/>
            <w:lang w:eastAsia="es-MX"/>
          </w:rPr>
          <w:t>Actividad normativa</w:t>
        </w:r>
      </w:hyperlink>
      <w:r w:rsidRPr="00E55409">
        <w:rPr>
          <w:rFonts w:ascii="Arial" w:eastAsia="Times New Roman" w:hAnsi="Arial" w:cs="Arial"/>
          <w:color w:val="000000" w:themeColor="text1"/>
          <w:sz w:val="20"/>
          <w:szCs w:val="20"/>
          <w:lang w:eastAsia="es-MX"/>
        </w:rPr>
        <w:t>, mediante la preparación y aprobación de instrumentos internacionales y recomendaciones estatutarias.</w:t>
      </w:r>
    </w:p>
    <w:p w:rsidR="00E55409" w:rsidRPr="00E55409" w:rsidRDefault="00E55409" w:rsidP="00E5540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r w:rsidRPr="00E55409">
        <w:rPr>
          <w:rFonts w:ascii="Arial" w:eastAsia="Times New Roman" w:hAnsi="Arial" w:cs="Arial"/>
          <w:b/>
          <w:bCs/>
          <w:color w:val="000000" w:themeColor="text1"/>
          <w:sz w:val="20"/>
          <w:szCs w:val="20"/>
          <w:lang w:eastAsia="es-MX"/>
        </w:rPr>
        <w:t>Conocimientos especializados</w:t>
      </w:r>
      <w:r w:rsidRPr="00E55409">
        <w:rPr>
          <w:rFonts w:ascii="Arial" w:eastAsia="Times New Roman" w:hAnsi="Arial" w:cs="Arial"/>
          <w:color w:val="000000" w:themeColor="text1"/>
          <w:sz w:val="20"/>
          <w:szCs w:val="20"/>
          <w:lang w:eastAsia="es-MX"/>
        </w:rPr>
        <w:t>, que se transmiten a través de la "cooperación técnica" a los Estados Miembros para que elaboren sus proyectos y políticas de desarrollo.</w:t>
      </w:r>
    </w:p>
    <w:p w:rsidR="00E55409" w:rsidRPr="00E55409" w:rsidRDefault="00E55409" w:rsidP="00E5540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r w:rsidRPr="00E55409">
        <w:rPr>
          <w:rFonts w:ascii="Arial" w:eastAsia="Times New Roman" w:hAnsi="Arial" w:cs="Arial"/>
          <w:b/>
          <w:bCs/>
          <w:color w:val="000000" w:themeColor="text1"/>
          <w:sz w:val="20"/>
          <w:szCs w:val="20"/>
          <w:lang w:eastAsia="es-MX"/>
        </w:rPr>
        <w:t>Intercambio de información especializada</w:t>
      </w:r>
      <w:r w:rsidRPr="00E55409">
        <w:rPr>
          <w:rFonts w:ascii="Arial" w:eastAsia="Times New Roman" w:hAnsi="Arial" w:cs="Arial"/>
          <w:color w:val="000000" w:themeColor="text1"/>
          <w:sz w:val="20"/>
          <w:szCs w:val="20"/>
          <w:lang w:eastAsia="es-MX"/>
        </w:rPr>
        <w:t>. </w:t>
      </w: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P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E55409" w:rsidRPr="00E55409" w:rsidRDefault="00E55409" w:rsidP="00E55409">
      <w:pPr>
        <w:shd w:val="clear" w:color="auto" w:fill="FFFFFF"/>
        <w:spacing w:after="180" w:line="240" w:lineRule="auto"/>
        <w:textAlignment w:val="baseline"/>
        <w:outlineLvl w:val="1"/>
        <w:rPr>
          <w:rFonts w:ascii="Arial" w:eastAsia="Times New Roman" w:hAnsi="Arial" w:cs="Arial"/>
          <w:color w:val="111111"/>
          <w:sz w:val="48"/>
          <w:szCs w:val="48"/>
          <w:lang w:eastAsia="es-MX"/>
        </w:rPr>
      </w:pPr>
      <w:r w:rsidRPr="00E55409">
        <w:rPr>
          <w:rFonts w:ascii="Arial" w:eastAsia="Times New Roman" w:hAnsi="Arial" w:cs="Arial"/>
          <w:color w:val="111111"/>
          <w:sz w:val="48"/>
          <w:szCs w:val="48"/>
          <w:lang w:eastAsia="es-MX"/>
        </w:rPr>
        <w:lastRenderedPageBreak/>
        <w:t>¿Qué es la OCDE?</w:t>
      </w:r>
    </w:p>
    <w:p w:rsidR="00E55409" w:rsidRPr="00E55409" w:rsidRDefault="00E55409" w:rsidP="00E55409">
      <w:pPr>
        <w:shd w:val="clear" w:color="auto" w:fill="FFFFFF"/>
        <w:spacing w:after="360" w:line="225" w:lineRule="atLeast"/>
        <w:textAlignment w:val="baseline"/>
        <w:rPr>
          <w:rFonts w:ascii="Arial" w:eastAsia="Times New Roman" w:hAnsi="Arial" w:cs="Arial"/>
          <w:color w:val="222222"/>
          <w:sz w:val="18"/>
          <w:szCs w:val="18"/>
          <w:lang w:eastAsia="es-MX"/>
        </w:rPr>
      </w:pPr>
      <w:r w:rsidRPr="00E55409">
        <w:rPr>
          <w:rFonts w:ascii="Arial" w:eastAsia="Times New Roman" w:hAnsi="Arial" w:cs="Arial"/>
          <w:color w:val="222222"/>
          <w:sz w:val="18"/>
          <w:szCs w:val="18"/>
          <w:lang w:eastAsia="es-MX"/>
        </w:rPr>
        <w:t>Fundada en 1961, la Organización para la Cooperación y el Desarrollo Económicos (OCDE) agrupa a 34 países miembros y su misión es promover políticas que mejoren el bienestar económico y social de las personas alrededor del mundo.</w:t>
      </w:r>
    </w:p>
    <w:p w:rsidR="00E55409" w:rsidRPr="00E55409" w:rsidRDefault="00E55409" w:rsidP="00E55409">
      <w:pPr>
        <w:shd w:val="clear" w:color="auto" w:fill="FFFFFF"/>
        <w:spacing w:after="360" w:line="225" w:lineRule="atLeast"/>
        <w:textAlignment w:val="baseline"/>
        <w:rPr>
          <w:rFonts w:ascii="Arial" w:eastAsia="Times New Roman" w:hAnsi="Arial" w:cs="Arial"/>
          <w:color w:val="222222"/>
          <w:sz w:val="18"/>
          <w:szCs w:val="18"/>
          <w:lang w:eastAsia="es-MX"/>
        </w:rPr>
      </w:pPr>
      <w:r w:rsidRPr="00E55409">
        <w:rPr>
          <w:rFonts w:ascii="Arial" w:eastAsia="Times New Roman" w:hAnsi="Arial" w:cs="Arial"/>
          <w:color w:val="222222"/>
          <w:sz w:val="18"/>
          <w:szCs w:val="18"/>
          <w:lang w:eastAsia="es-MX"/>
        </w:rPr>
        <w:t>La OCDE ofrece un foro donde los gobiernos puedan trabajar conjuntamente para compartir experiencias y buscar soluciones a los problemas comunes. Trabajamos para entender que es lo que conduce al cambio económico, social y ambiental. Medimos la productividad y los flujos globales del comercio e inversión. Analizamos y comparamos datos para realizar pronósticos de tendencias. Fijamos estándares internacionales dentro de un amplio rango de temas de políticas públicas. </w:t>
      </w:r>
    </w:p>
    <w:p w:rsidR="00E55409" w:rsidRPr="00E55409" w:rsidRDefault="00E55409" w:rsidP="00E55409">
      <w:pPr>
        <w:numPr>
          <w:ilvl w:val="0"/>
          <w:numId w:val="2"/>
        </w:numPr>
        <w:shd w:val="clear" w:color="auto" w:fill="FFFFFF"/>
        <w:spacing w:after="0" w:line="225" w:lineRule="atLeast"/>
        <w:ind w:left="360" w:right="360"/>
        <w:textAlignment w:val="baseline"/>
        <w:rPr>
          <w:rFonts w:ascii="inherit" w:eastAsia="Times New Roman" w:hAnsi="inherit" w:cs="Arial"/>
          <w:color w:val="222222"/>
          <w:sz w:val="18"/>
          <w:szCs w:val="18"/>
          <w:lang w:eastAsia="es-MX"/>
        </w:rPr>
      </w:pPr>
      <w:hyperlink r:id="rId9" w:history="1">
        <w:r w:rsidRPr="00E55409">
          <w:rPr>
            <w:rFonts w:ascii="inherit" w:eastAsia="Times New Roman" w:hAnsi="inherit" w:cs="Arial"/>
            <w:color w:val="2973BD"/>
            <w:sz w:val="18"/>
            <w:szCs w:val="18"/>
            <w:u w:val="single"/>
            <w:bdr w:val="none" w:sz="0" w:space="0" w:color="auto" w:frame="1"/>
            <w:lang w:eastAsia="es-MX"/>
          </w:rPr>
          <w:t>La OCDE en México</w:t>
        </w:r>
      </w:hyperlink>
    </w:p>
    <w:p w:rsidR="00E55409" w:rsidRPr="00E55409" w:rsidRDefault="00E55409" w:rsidP="00E55409">
      <w:pPr>
        <w:numPr>
          <w:ilvl w:val="0"/>
          <w:numId w:val="2"/>
        </w:numPr>
        <w:shd w:val="clear" w:color="auto" w:fill="FFFFFF"/>
        <w:spacing w:after="0" w:line="225" w:lineRule="atLeast"/>
        <w:ind w:left="360" w:right="360"/>
        <w:textAlignment w:val="baseline"/>
        <w:rPr>
          <w:rFonts w:ascii="inherit" w:eastAsia="Times New Roman" w:hAnsi="inherit" w:cs="Arial"/>
          <w:color w:val="222222"/>
          <w:sz w:val="18"/>
          <w:szCs w:val="18"/>
          <w:lang w:eastAsia="es-MX"/>
        </w:rPr>
      </w:pPr>
      <w:hyperlink r:id="rId10" w:history="1">
        <w:r w:rsidRPr="00E55409">
          <w:rPr>
            <w:rFonts w:ascii="inherit" w:eastAsia="Times New Roman" w:hAnsi="inherit" w:cs="Arial"/>
            <w:color w:val="2973BD"/>
            <w:sz w:val="18"/>
            <w:szCs w:val="18"/>
            <w:u w:val="single"/>
            <w:bdr w:val="none" w:sz="0" w:space="0" w:color="auto" w:frame="1"/>
            <w:lang w:eastAsia="es-MX"/>
          </w:rPr>
          <w:t>Conoce el trabajo estadístico de la OCDE</w:t>
        </w:r>
      </w:hyperlink>
    </w:p>
    <w:p w:rsidR="00E55409" w:rsidRPr="00E55409" w:rsidRDefault="00E55409" w:rsidP="00E55409">
      <w:pPr>
        <w:shd w:val="clear" w:color="auto" w:fill="FFFFFF"/>
        <w:spacing w:after="180" w:line="240" w:lineRule="auto"/>
        <w:textAlignment w:val="baseline"/>
        <w:outlineLvl w:val="1"/>
        <w:rPr>
          <w:rFonts w:ascii="Arial" w:eastAsia="Times New Roman" w:hAnsi="Arial" w:cs="Arial"/>
          <w:color w:val="111111"/>
          <w:sz w:val="48"/>
          <w:szCs w:val="48"/>
          <w:lang w:eastAsia="es-MX"/>
        </w:rPr>
      </w:pPr>
      <w:r w:rsidRPr="00E55409">
        <w:rPr>
          <w:rFonts w:ascii="Arial" w:eastAsia="Times New Roman" w:hAnsi="Arial" w:cs="Arial"/>
          <w:color w:val="111111"/>
          <w:sz w:val="48"/>
          <w:szCs w:val="48"/>
          <w:lang w:eastAsia="es-MX"/>
        </w:rPr>
        <w:t>Los valores base de la OCDE</w:t>
      </w:r>
    </w:p>
    <w:p w:rsidR="00E55409" w:rsidRPr="00E55409" w:rsidRDefault="00E55409" w:rsidP="00E55409">
      <w:pPr>
        <w:numPr>
          <w:ilvl w:val="0"/>
          <w:numId w:val="3"/>
        </w:numPr>
        <w:shd w:val="clear" w:color="auto" w:fill="FFFFFF"/>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b/>
          <w:bCs/>
          <w:color w:val="222222"/>
          <w:sz w:val="18"/>
          <w:szCs w:val="18"/>
          <w:lang w:eastAsia="es-MX"/>
        </w:rPr>
        <w:t>Objetivo:</w:t>
      </w:r>
      <w:r w:rsidRPr="00E55409">
        <w:rPr>
          <w:rFonts w:ascii="inherit" w:eastAsia="Times New Roman" w:hAnsi="inherit" w:cs="Arial"/>
          <w:color w:val="222222"/>
          <w:sz w:val="18"/>
          <w:szCs w:val="18"/>
          <w:lang w:eastAsia="es-MX"/>
        </w:rPr>
        <w:t> Nuestros análisis y recomendaciones son independientes y basados en la evidencia.</w:t>
      </w:r>
    </w:p>
    <w:p w:rsidR="00E55409" w:rsidRPr="00E55409" w:rsidRDefault="00E55409" w:rsidP="00E55409">
      <w:pPr>
        <w:numPr>
          <w:ilvl w:val="0"/>
          <w:numId w:val="3"/>
        </w:numPr>
        <w:shd w:val="clear" w:color="auto" w:fill="FFFFFF"/>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b/>
          <w:bCs/>
          <w:color w:val="222222"/>
          <w:sz w:val="18"/>
          <w:szCs w:val="18"/>
          <w:lang w:eastAsia="es-MX"/>
        </w:rPr>
        <w:t>Abierto:</w:t>
      </w:r>
      <w:r w:rsidRPr="00E55409">
        <w:rPr>
          <w:rFonts w:ascii="inherit" w:eastAsia="Times New Roman" w:hAnsi="inherit" w:cs="Arial"/>
          <w:color w:val="222222"/>
          <w:sz w:val="18"/>
          <w:szCs w:val="18"/>
          <w:lang w:eastAsia="es-MX"/>
        </w:rPr>
        <w:t> Alentamos el debate y compartimos el entendimiento de los asuntos críticos mundiales.</w:t>
      </w:r>
    </w:p>
    <w:p w:rsidR="00E55409" w:rsidRPr="00E55409" w:rsidRDefault="00E55409" w:rsidP="00E55409">
      <w:pPr>
        <w:numPr>
          <w:ilvl w:val="0"/>
          <w:numId w:val="3"/>
        </w:numPr>
        <w:shd w:val="clear" w:color="auto" w:fill="FFFFFF"/>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b/>
          <w:bCs/>
          <w:color w:val="222222"/>
          <w:sz w:val="18"/>
          <w:szCs w:val="18"/>
          <w:lang w:eastAsia="es-MX"/>
        </w:rPr>
        <w:t>Audaz</w:t>
      </w:r>
      <w:r w:rsidRPr="00E55409">
        <w:rPr>
          <w:rFonts w:ascii="inherit" w:eastAsia="Times New Roman" w:hAnsi="inherit" w:cs="Arial"/>
          <w:color w:val="222222"/>
          <w:sz w:val="18"/>
          <w:szCs w:val="18"/>
          <w:lang w:eastAsia="es-MX"/>
        </w:rPr>
        <w:t>: Nos atrevemos a desafiar el saber convencional iniciando con nosotros mismos.</w:t>
      </w:r>
    </w:p>
    <w:p w:rsidR="00E55409" w:rsidRPr="00E55409" w:rsidRDefault="00E55409" w:rsidP="00E55409">
      <w:pPr>
        <w:numPr>
          <w:ilvl w:val="0"/>
          <w:numId w:val="3"/>
        </w:numPr>
        <w:shd w:val="clear" w:color="auto" w:fill="FFFFFF"/>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b/>
          <w:bCs/>
          <w:color w:val="222222"/>
          <w:sz w:val="18"/>
          <w:szCs w:val="18"/>
          <w:lang w:eastAsia="es-MX"/>
        </w:rPr>
        <w:t>Vanguardista:</w:t>
      </w:r>
      <w:r w:rsidRPr="00E55409">
        <w:rPr>
          <w:rFonts w:ascii="inherit" w:eastAsia="Times New Roman" w:hAnsi="inherit" w:cs="Arial"/>
          <w:color w:val="222222"/>
          <w:sz w:val="18"/>
          <w:szCs w:val="18"/>
          <w:lang w:eastAsia="es-MX"/>
        </w:rPr>
        <w:t> Identificamos y tratamos desafíos a largo plazo.</w:t>
      </w:r>
    </w:p>
    <w:p w:rsidR="00E55409" w:rsidRPr="00E55409" w:rsidRDefault="00E55409" w:rsidP="00E55409">
      <w:pPr>
        <w:numPr>
          <w:ilvl w:val="0"/>
          <w:numId w:val="3"/>
        </w:numPr>
        <w:shd w:val="clear" w:color="auto" w:fill="FFFFFF"/>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b/>
          <w:bCs/>
          <w:color w:val="222222"/>
          <w:sz w:val="18"/>
          <w:szCs w:val="18"/>
          <w:lang w:eastAsia="es-MX"/>
        </w:rPr>
        <w:t>Ético:</w:t>
      </w:r>
      <w:r w:rsidRPr="00E55409">
        <w:rPr>
          <w:rFonts w:ascii="inherit" w:eastAsia="Times New Roman" w:hAnsi="inherit" w:cs="Arial"/>
          <w:color w:val="222222"/>
          <w:sz w:val="18"/>
          <w:szCs w:val="18"/>
          <w:lang w:eastAsia="es-MX"/>
        </w:rPr>
        <w:t> Nuestra credibilidad está forjada en la confianza, integridad y transparencia </w:t>
      </w:r>
    </w:p>
    <w:p w:rsidR="00E55409" w:rsidRPr="00E55409" w:rsidRDefault="00E55409" w:rsidP="00E55409">
      <w:pPr>
        <w:shd w:val="clear" w:color="auto" w:fill="FFFFFF"/>
        <w:spacing w:after="180" w:line="240" w:lineRule="auto"/>
        <w:textAlignment w:val="baseline"/>
        <w:outlineLvl w:val="1"/>
        <w:rPr>
          <w:rFonts w:ascii="Arial" w:eastAsia="Times New Roman" w:hAnsi="Arial" w:cs="Arial"/>
          <w:color w:val="111111"/>
          <w:sz w:val="48"/>
          <w:szCs w:val="48"/>
          <w:lang w:eastAsia="es-MX"/>
        </w:rPr>
      </w:pPr>
      <w:r w:rsidRPr="00E55409">
        <w:rPr>
          <w:rFonts w:ascii="Arial" w:eastAsia="Times New Roman" w:hAnsi="Arial" w:cs="Arial"/>
          <w:color w:val="111111"/>
          <w:sz w:val="48"/>
          <w:szCs w:val="48"/>
          <w:lang w:eastAsia="es-MX"/>
        </w:rPr>
        <w:t>Países miembros</w:t>
      </w:r>
    </w:p>
    <w:tbl>
      <w:tblPr>
        <w:tblW w:w="14250" w:type="dxa"/>
        <w:tblCellSpacing w:w="15" w:type="dxa"/>
        <w:shd w:val="clear" w:color="auto" w:fill="FFFFFF"/>
        <w:tblCellMar>
          <w:left w:w="0" w:type="dxa"/>
          <w:right w:w="0" w:type="dxa"/>
        </w:tblCellMar>
        <w:tblLook w:val="04A0" w:firstRow="1" w:lastRow="0" w:firstColumn="1" w:lastColumn="0" w:noHBand="0" w:noVBand="1"/>
      </w:tblPr>
      <w:tblGrid>
        <w:gridCol w:w="1803"/>
        <w:gridCol w:w="1534"/>
        <w:gridCol w:w="1918"/>
        <w:gridCol w:w="382"/>
        <w:gridCol w:w="8613"/>
      </w:tblGrid>
      <w:tr w:rsidR="00E55409" w:rsidRPr="00E55409" w:rsidTr="00E55409">
        <w:trPr>
          <w:tblCellSpacing w:w="15" w:type="dxa"/>
        </w:trPr>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Alemania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Australia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Austria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Bélgica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Canadá</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Chile</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Corea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Dinamarca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España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Estados Unidos</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lastRenderedPageBreak/>
              <w:t>Eslovenia</w:t>
            </w: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lastRenderedPageBreak/>
              <w:t>Estonia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Finlandia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Francia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Grecia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Hungría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Irlanda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Islandia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Israel</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Italia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Japón</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lastRenderedPageBreak/>
              <w:t>Luxemburgo</w:t>
            </w: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lastRenderedPageBreak/>
              <w:t>México</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Noruega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Nueva Zelanda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Países Bajos</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Polonia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Portugal</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Reino Unido</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República Checa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Suecia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Suiza</w:t>
            </w:r>
          </w:p>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lastRenderedPageBreak/>
              <w:t>Turquía</w:t>
            </w: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Pr="00E55409" w:rsidRDefault="00E55409" w:rsidP="00E55409">
            <w:pPr>
              <w:spacing w:after="0" w:line="225" w:lineRule="atLeast"/>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lastRenderedPageBreak/>
              <w:t> </w:t>
            </w: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Pr="00E55409" w:rsidRDefault="00E55409" w:rsidP="00E55409">
            <w:pPr>
              <w:spacing w:after="360" w:line="225" w:lineRule="atLeast"/>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 </w:t>
            </w:r>
          </w:p>
          <w:p w:rsidR="00E55409" w:rsidRPr="00E55409" w:rsidRDefault="00E55409" w:rsidP="00E55409">
            <w:pPr>
              <w:numPr>
                <w:ilvl w:val="0"/>
                <w:numId w:val="4"/>
              </w:numPr>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Países en proceso de adhesión a la Organización: Rusia, Colombia y Letonia</w:t>
            </w:r>
          </w:p>
          <w:p w:rsidR="00E55409" w:rsidRPr="00E55409" w:rsidRDefault="00E55409" w:rsidP="00E55409">
            <w:pPr>
              <w:numPr>
                <w:ilvl w:val="0"/>
                <w:numId w:val="5"/>
              </w:numPr>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En 2015 comenzarán las conversaciones de adhesión de Costa Rica y Lituania</w:t>
            </w:r>
          </w:p>
          <w:p w:rsidR="00E55409" w:rsidRPr="00E55409" w:rsidRDefault="00E55409" w:rsidP="00E55409">
            <w:pPr>
              <w:numPr>
                <w:ilvl w:val="0"/>
                <w:numId w:val="6"/>
              </w:numPr>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Colaboración con países clave: Brasil, China, India, Indonesia, Sudáfrica</w:t>
            </w:r>
          </w:p>
          <w:p w:rsidR="00E55409" w:rsidRPr="00E55409" w:rsidRDefault="00E55409" w:rsidP="00E55409">
            <w:pPr>
              <w:numPr>
                <w:ilvl w:val="0"/>
                <w:numId w:val="7"/>
              </w:numPr>
              <w:spacing w:after="0" w:line="225" w:lineRule="atLeast"/>
              <w:ind w:left="360" w:right="360"/>
              <w:textAlignment w:val="baseline"/>
              <w:rPr>
                <w:rFonts w:ascii="inherit" w:eastAsia="Times New Roman" w:hAnsi="inherit" w:cs="Arial"/>
                <w:color w:val="222222"/>
                <w:sz w:val="18"/>
                <w:szCs w:val="18"/>
                <w:lang w:eastAsia="es-MX"/>
              </w:rPr>
            </w:pPr>
            <w:r w:rsidRPr="00E55409">
              <w:rPr>
                <w:rFonts w:ascii="inherit" w:eastAsia="Times New Roman" w:hAnsi="inherit" w:cs="Arial"/>
                <w:color w:val="222222"/>
                <w:sz w:val="18"/>
                <w:szCs w:val="18"/>
                <w:lang w:eastAsia="es-MX"/>
              </w:rPr>
              <w:t>Además de colaborar c</w:t>
            </w:r>
          </w:p>
        </w:tc>
      </w:tr>
    </w:tbl>
    <w:p w:rsidR="00E55409" w:rsidRDefault="00E55409" w:rsidP="00E55409">
      <w:pPr>
        <w:pStyle w:val="Ttulo1"/>
        <w:shd w:val="clear" w:color="auto" w:fill="FFFFFF"/>
        <w:spacing w:before="0"/>
        <w:textAlignment w:val="baseline"/>
        <w:rPr>
          <w:rFonts w:ascii="Georgia" w:hAnsi="Georgia"/>
          <w:color w:val="111111"/>
          <w:sz w:val="41"/>
          <w:szCs w:val="41"/>
        </w:rPr>
      </w:pPr>
      <w:r>
        <w:rPr>
          <w:rFonts w:ascii="Georgia" w:hAnsi="Georgia"/>
          <w:color w:val="111111"/>
          <w:sz w:val="41"/>
          <w:szCs w:val="41"/>
        </w:rPr>
        <w:lastRenderedPageBreak/>
        <w:t>La OCDE en México</w:t>
      </w:r>
    </w:p>
    <w:p w:rsidR="00E55409" w:rsidRDefault="00E55409" w:rsidP="00E55409">
      <w:pPr>
        <w:pStyle w:val="NormalWeb"/>
        <w:spacing w:before="75" w:beforeAutospacing="0" w:after="75" w:afterAutospacing="0" w:line="225" w:lineRule="atLeast"/>
        <w:jc w:val="center"/>
        <w:textAlignment w:val="baseline"/>
        <w:rPr>
          <w:rFonts w:ascii="inherit" w:hAnsi="inherit" w:cs="Arial"/>
          <w:color w:val="222222"/>
          <w:sz w:val="18"/>
          <w:szCs w:val="18"/>
        </w:rPr>
      </w:pPr>
      <w:r>
        <w:rPr>
          <w:rFonts w:ascii="inherit" w:hAnsi="inherit" w:cs="Arial"/>
          <w:color w:val="222222"/>
          <w:sz w:val="18"/>
          <w:szCs w:val="18"/>
        </w:rPr>
        <w:t> </w:t>
      </w:r>
    </w:p>
    <w:p w:rsidR="00E55409" w:rsidRDefault="00E55409" w:rsidP="00E55409">
      <w:pPr>
        <w:pStyle w:val="NormalWeb"/>
        <w:spacing w:before="75" w:beforeAutospacing="0" w:after="75" w:afterAutospacing="0" w:line="225" w:lineRule="atLeast"/>
        <w:textAlignment w:val="baseline"/>
        <w:rPr>
          <w:rFonts w:ascii="inherit" w:hAnsi="inherit" w:cs="Arial"/>
          <w:color w:val="222222"/>
          <w:sz w:val="18"/>
          <w:szCs w:val="18"/>
        </w:rPr>
      </w:pPr>
      <w:r>
        <w:rPr>
          <w:rFonts w:ascii="inherit" w:hAnsi="inherit" w:cs="Arial"/>
          <w:color w:val="222222"/>
          <w:sz w:val="18"/>
          <w:szCs w:val="18"/>
        </w:rPr>
        <w:t>El Centro de la OCDE en México para América Latina es ejemplo de la importancia estratégica que tiene América Latina para la Organización.</w:t>
      </w:r>
      <w:r>
        <w:rPr>
          <w:rFonts w:ascii="inherit" w:hAnsi="inherit" w:cs="Arial"/>
          <w:color w:val="222222"/>
          <w:sz w:val="18"/>
          <w:szCs w:val="18"/>
        </w:rPr>
        <w:br/>
        <w:t>Su principal finalidad consiste en aumentar la visibilidad de la OCDE en la región y, durante más de una década, se ha dedicado a promover el trabajo y las actividades de la OCDE al establecer contacto con creadores de políticas, expertos, líderes empresariales, universidades y representantes de la sociedad civil.</w:t>
      </w:r>
      <w:r>
        <w:rPr>
          <w:rFonts w:ascii="inherit" w:hAnsi="inherit" w:cs="Arial"/>
          <w:color w:val="222222"/>
          <w:sz w:val="18"/>
          <w:szCs w:val="18"/>
        </w:rPr>
        <w:br/>
        <w:t>Uno de los principales logros del Centro de México ha sido el aumento en traducciones y las ediciones locales, facilitando la participación de expertos de la OCDE en seminarios y eventos que se realizan en la región.</w:t>
      </w:r>
    </w:p>
    <w:tbl>
      <w:tblPr>
        <w:tblW w:w="13770" w:type="dxa"/>
        <w:tblCellSpacing w:w="15" w:type="dxa"/>
        <w:shd w:val="clear" w:color="auto" w:fill="FFFFFF"/>
        <w:tblCellMar>
          <w:left w:w="0" w:type="dxa"/>
          <w:right w:w="0" w:type="dxa"/>
        </w:tblCellMar>
        <w:tblLook w:val="04A0" w:firstRow="1" w:lastRow="0" w:firstColumn="1" w:lastColumn="0" w:noHBand="0" w:noVBand="1"/>
      </w:tblPr>
      <w:tblGrid>
        <w:gridCol w:w="12333"/>
        <w:gridCol w:w="300"/>
        <w:gridCol w:w="261"/>
        <w:gridCol w:w="300"/>
        <w:gridCol w:w="261"/>
        <w:gridCol w:w="315"/>
      </w:tblGrid>
      <w:tr w:rsidR="00E55409" w:rsidTr="00E55409">
        <w:trPr>
          <w:tblCellSpacing w:w="15" w:type="dxa"/>
        </w:trPr>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Default="00E55409">
            <w:pPr>
              <w:pStyle w:val="Ttulo3"/>
              <w:spacing w:before="0" w:after="75" w:line="288" w:lineRule="atLeast"/>
              <w:textAlignment w:val="baseline"/>
              <w:rPr>
                <w:rFonts w:ascii="inherit" w:hAnsi="inherit" w:cs="Arial"/>
                <w:color w:val="111111"/>
                <w:sz w:val="23"/>
                <w:szCs w:val="23"/>
              </w:rPr>
            </w:pPr>
            <w:r>
              <w:rPr>
                <w:rFonts w:ascii="inherit" w:hAnsi="inherit" w:cs="Arial"/>
                <w:color w:val="111111"/>
                <w:sz w:val="23"/>
                <w:szCs w:val="23"/>
              </w:rPr>
              <w:t>México y la OCDE</w:t>
            </w:r>
          </w:p>
          <w:p w:rsidR="00E55409" w:rsidRDefault="00E55409">
            <w:pPr>
              <w:pStyle w:val="NormalWeb"/>
              <w:spacing w:before="75" w:beforeAutospacing="0" w:after="75" w:afterAutospacing="0" w:line="225" w:lineRule="atLeast"/>
              <w:textAlignment w:val="baseline"/>
              <w:rPr>
                <w:rFonts w:ascii="inherit" w:hAnsi="inherit" w:cs="Arial"/>
                <w:color w:val="222222"/>
                <w:sz w:val="18"/>
                <w:szCs w:val="18"/>
              </w:rPr>
            </w:pPr>
            <w:r>
              <w:rPr>
                <w:rFonts w:ascii="inherit" w:hAnsi="inherit" w:cs="Arial"/>
                <w:color w:val="222222"/>
                <w:sz w:val="18"/>
                <w:szCs w:val="18"/>
              </w:rPr>
              <w:t>El 18 de mayo de 1994, México se convirtió en el miembro número 25 de la OCDE; el "Decreto de promulgación de la Declaración del Gobierno de los Estados Unidos Mexicanos sobre la aceptación de sus obligaciones como miembro de la Organización de Cooperación y Desarrollo Económicos" fue publicado en el Diario Oficial de la Federación el 05 de julio del mismo año. Es un plano de igualdad, México analiza las políticas públicas de los países miembros.</w:t>
            </w: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Default="00E55409">
            <w:pPr>
              <w:spacing w:line="225" w:lineRule="atLeast"/>
              <w:rPr>
                <w:rFonts w:ascii="inherit" w:hAnsi="inherit" w:cs="Arial"/>
                <w:color w:val="222222"/>
                <w:sz w:val="18"/>
                <w:szCs w:val="18"/>
              </w:rPr>
            </w:pPr>
            <w:r>
              <w:rPr>
                <w:rFonts w:ascii="inherit" w:hAnsi="inherit" w:cs="Arial"/>
                <w:color w:val="222222"/>
                <w:sz w:val="18"/>
                <w:szCs w:val="18"/>
              </w:rPr>
              <w:t> </w:t>
            </w: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Default="00E55409">
            <w:pPr>
              <w:spacing w:line="225" w:lineRule="atLeast"/>
              <w:rPr>
                <w:rFonts w:ascii="inherit" w:hAnsi="inherit" w:cs="Arial"/>
                <w:color w:val="222222"/>
                <w:sz w:val="18"/>
                <w:szCs w:val="18"/>
              </w:rPr>
            </w:pP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Default="00E55409">
            <w:pPr>
              <w:spacing w:line="225" w:lineRule="atLeast"/>
              <w:rPr>
                <w:rFonts w:ascii="inherit" w:hAnsi="inherit" w:cs="Arial"/>
                <w:color w:val="222222"/>
                <w:sz w:val="18"/>
                <w:szCs w:val="18"/>
              </w:rPr>
            </w:pPr>
            <w:r>
              <w:rPr>
                <w:rFonts w:ascii="inherit" w:hAnsi="inherit" w:cs="Arial"/>
                <w:color w:val="222222"/>
                <w:sz w:val="18"/>
                <w:szCs w:val="18"/>
              </w:rPr>
              <w:t> </w:t>
            </w: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Default="00E55409">
            <w:pPr>
              <w:spacing w:line="225" w:lineRule="atLeast"/>
              <w:rPr>
                <w:rFonts w:ascii="inherit" w:hAnsi="inherit" w:cs="Arial"/>
                <w:color w:val="222222"/>
                <w:sz w:val="18"/>
                <w:szCs w:val="18"/>
              </w:rPr>
            </w:pPr>
          </w:p>
        </w:tc>
        <w:tc>
          <w:tcPr>
            <w:tcW w:w="0" w:type="auto"/>
            <w:tcBorders>
              <w:top w:val="nil"/>
              <w:left w:val="nil"/>
              <w:bottom w:val="nil"/>
              <w:right w:val="nil"/>
            </w:tcBorders>
            <w:shd w:val="clear" w:color="auto" w:fill="FFFFFF"/>
            <w:tcMar>
              <w:top w:w="60" w:type="dxa"/>
              <w:left w:w="75" w:type="dxa"/>
              <w:bottom w:w="60" w:type="dxa"/>
              <w:right w:w="150" w:type="dxa"/>
            </w:tcMar>
            <w:hideMark/>
          </w:tcPr>
          <w:p w:rsidR="00E55409" w:rsidRDefault="00E55409">
            <w:pPr>
              <w:spacing w:line="225" w:lineRule="atLeast"/>
              <w:rPr>
                <w:rFonts w:ascii="inherit" w:hAnsi="inherit" w:cs="Arial"/>
                <w:color w:val="222222"/>
                <w:sz w:val="18"/>
                <w:szCs w:val="18"/>
              </w:rPr>
            </w:pPr>
            <w:r>
              <w:rPr>
                <w:rFonts w:ascii="inherit" w:hAnsi="inherit" w:cs="Arial"/>
                <w:color w:val="222222"/>
                <w:sz w:val="18"/>
                <w:szCs w:val="18"/>
              </w:rPr>
              <w:t> </w:t>
            </w:r>
          </w:p>
        </w:tc>
      </w:tr>
    </w:tbl>
    <w:p w:rsidR="00E55409" w:rsidRDefault="00E55409" w:rsidP="00E55409">
      <w:pPr>
        <w:pStyle w:val="Ttulo3"/>
        <w:shd w:val="clear" w:color="auto" w:fill="FFFFFF"/>
        <w:spacing w:before="0" w:after="75" w:line="288" w:lineRule="atLeast"/>
        <w:textAlignment w:val="baseline"/>
        <w:rPr>
          <w:rFonts w:ascii="Arial" w:hAnsi="Arial" w:cs="Arial"/>
          <w:color w:val="111111"/>
          <w:sz w:val="31"/>
          <w:szCs w:val="31"/>
        </w:rPr>
      </w:pPr>
      <w:r>
        <w:rPr>
          <w:rFonts w:ascii="Arial" w:hAnsi="Arial" w:cs="Arial"/>
          <w:color w:val="111111"/>
          <w:sz w:val="31"/>
          <w:szCs w:val="31"/>
        </w:rPr>
        <w:t>Beneficios para México</w:t>
      </w:r>
    </w:p>
    <w:p w:rsidR="00E55409" w:rsidRDefault="00E55409" w:rsidP="00E55409">
      <w:pPr>
        <w:pStyle w:val="NormalWeb"/>
        <w:shd w:val="clear" w:color="auto" w:fill="FFFFFF"/>
        <w:spacing w:before="75" w:beforeAutospacing="0" w:after="75" w:afterAutospacing="0" w:line="225" w:lineRule="atLeast"/>
        <w:textAlignment w:val="baseline"/>
        <w:rPr>
          <w:rFonts w:ascii="Arial" w:hAnsi="Arial" w:cs="Arial"/>
          <w:color w:val="222222"/>
          <w:sz w:val="18"/>
          <w:szCs w:val="18"/>
        </w:rPr>
      </w:pPr>
      <w:r>
        <w:rPr>
          <w:rFonts w:ascii="Arial" w:hAnsi="Arial" w:cs="Arial"/>
          <w:color w:val="222222"/>
          <w:sz w:val="18"/>
          <w:szCs w:val="18"/>
        </w:rPr>
        <w:t>Algunos de los beneficios específicos del ingreso de México a la OCDE son:</w:t>
      </w:r>
    </w:p>
    <w:p w:rsidR="00E55409" w:rsidRDefault="00E55409" w:rsidP="00E55409">
      <w:pPr>
        <w:numPr>
          <w:ilvl w:val="0"/>
          <w:numId w:val="8"/>
        </w:numPr>
        <w:shd w:val="clear" w:color="auto" w:fill="FFFFFF"/>
        <w:spacing w:after="0" w:line="225" w:lineRule="atLeast"/>
        <w:ind w:left="360" w:right="360"/>
        <w:textAlignment w:val="baseline"/>
        <w:rPr>
          <w:rFonts w:ascii="inherit" w:hAnsi="inherit" w:cs="Arial"/>
          <w:color w:val="222222"/>
          <w:sz w:val="18"/>
          <w:szCs w:val="18"/>
        </w:rPr>
      </w:pPr>
      <w:r>
        <w:rPr>
          <w:rFonts w:ascii="inherit" w:hAnsi="inherit" w:cs="Arial"/>
          <w:color w:val="222222"/>
          <w:sz w:val="18"/>
          <w:szCs w:val="18"/>
        </w:rPr>
        <w:t>Las políticas públicas en los distintos ámbitos son contrastadas con la experiencia de las mejores prácticas en el ámbito internacional.</w:t>
      </w:r>
    </w:p>
    <w:p w:rsidR="00E55409" w:rsidRDefault="00E55409" w:rsidP="00E55409">
      <w:pPr>
        <w:numPr>
          <w:ilvl w:val="0"/>
          <w:numId w:val="8"/>
        </w:numPr>
        <w:shd w:val="clear" w:color="auto" w:fill="FFFFFF"/>
        <w:spacing w:after="0" w:line="225" w:lineRule="atLeast"/>
        <w:ind w:left="360" w:right="360"/>
        <w:textAlignment w:val="baseline"/>
        <w:rPr>
          <w:rFonts w:ascii="inherit" w:hAnsi="inherit" w:cs="Arial"/>
          <w:color w:val="222222"/>
          <w:sz w:val="18"/>
          <w:szCs w:val="18"/>
        </w:rPr>
      </w:pPr>
      <w:r>
        <w:rPr>
          <w:rFonts w:ascii="inherit" w:hAnsi="inherit" w:cs="Arial"/>
          <w:color w:val="222222"/>
          <w:sz w:val="18"/>
          <w:szCs w:val="18"/>
        </w:rPr>
        <w:t>La administración pública en México se ha visto fortalecida.</w:t>
      </w:r>
    </w:p>
    <w:p w:rsidR="00E55409" w:rsidRDefault="00E55409" w:rsidP="00E55409">
      <w:pPr>
        <w:numPr>
          <w:ilvl w:val="0"/>
          <w:numId w:val="8"/>
        </w:numPr>
        <w:shd w:val="clear" w:color="auto" w:fill="FFFFFF"/>
        <w:spacing w:after="0" w:line="225" w:lineRule="atLeast"/>
        <w:ind w:left="360" w:right="360"/>
        <w:textAlignment w:val="baseline"/>
        <w:rPr>
          <w:rFonts w:ascii="inherit" w:hAnsi="inherit" w:cs="Arial"/>
          <w:color w:val="222222"/>
          <w:sz w:val="18"/>
          <w:szCs w:val="18"/>
        </w:rPr>
      </w:pPr>
      <w:r>
        <w:rPr>
          <w:rFonts w:ascii="inherit" w:hAnsi="inherit" w:cs="Arial"/>
          <w:color w:val="222222"/>
          <w:sz w:val="18"/>
          <w:szCs w:val="18"/>
        </w:rPr>
        <w:t>Distintos sectores del país también pueden hacer uso de análisis de información relevante.</w:t>
      </w:r>
    </w:p>
    <w:p w:rsidR="00E55409" w:rsidRDefault="00E55409" w:rsidP="00E55409">
      <w:pPr>
        <w:numPr>
          <w:ilvl w:val="0"/>
          <w:numId w:val="8"/>
        </w:numPr>
        <w:shd w:val="clear" w:color="auto" w:fill="FFFFFF"/>
        <w:spacing w:after="0" w:line="225" w:lineRule="atLeast"/>
        <w:ind w:left="360" w:right="360"/>
        <w:textAlignment w:val="baseline"/>
        <w:rPr>
          <w:rFonts w:ascii="inherit" w:hAnsi="inherit" w:cs="Arial"/>
          <w:color w:val="222222"/>
          <w:sz w:val="18"/>
          <w:szCs w:val="18"/>
        </w:rPr>
      </w:pPr>
      <w:r>
        <w:rPr>
          <w:rFonts w:ascii="inherit" w:hAnsi="inherit" w:cs="Arial"/>
          <w:color w:val="222222"/>
          <w:sz w:val="18"/>
          <w:szCs w:val="18"/>
        </w:rPr>
        <w:t>La OCDE ha hecho un buen trabajo al contribuir a un mejor entendimiento de algunos asuntos de políticas públicas en México.</w:t>
      </w:r>
    </w:p>
    <w:p w:rsidR="00E55409" w:rsidRDefault="00E55409" w:rsidP="00E55409">
      <w:pPr>
        <w:pStyle w:val="Ttulo3"/>
        <w:shd w:val="clear" w:color="auto" w:fill="FFFFFF"/>
        <w:spacing w:before="0" w:after="75" w:line="288" w:lineRule="atLeast"/>
        <w:textAlignment w:val="baseline"/>
        <w:rPr>
          <w:rFonts w:ascii="Arial" w:hAnsi="Arial" w:cs="Arial"/>
          <w:color w:val="111111"/>
          <w:sz w:val="31"/>
          <w:szCs w:val="31"/>
        </w:rPr>
      </w:pPr>
      <w:r>
        <w:rPr>
          <w:rFonts w:ascii="Arial" w:hAnsi="Arial" w:cs="Arial"/>
          <w:color w:val="111111"/>
          <w:sz w:val="31"/>
          <w:szCs w:val="31"/>
        </w:rPr>
        <w:t>Participación de México en la OCDE</w:t>
      </w:r>
    </w:p>
    <w:p w:rsidR="00E55409" w:rsidRDefault="00E55409" w:rsidP="00E55409">
      <w:pPr>
        <w:pStyle w:val="NormalWeb"/>
        <w:shd w:val="clear" w:color="auto" w:fill="FFFFFF"/>
        <w:spacing w:before="75" w:beforeAutospacing="0" w:after="75" w:afterAutospacing="0" w:line="225" w:lineRule="atLeast"/>
        <w:textAlignment w:val="baseline"/>
        <w:rPr>
          <w:rFonts w:ascii="Arial" w:hAnsi="Arial" w:cs="Arial"/>
          <w:color w:val="222222"/>
          <w:sz w:val="18"/>
          <w:szCs w:val="18"/>
        </w:rPr>
      </w:pPr>
      <w:r>
        <w:rPr>
          <w:rFonts w:ascii="Arial" w:hAnsi="Arial" w:cs="Arial"/>
          <w:color w:val="222222"/>
          <w:sz w:val="18"/>
          <w:szCs w:val="18"/>
        </w:rPr>
        <w:t> La participación en la OCDE ha permitido a México aprovechar las experiencias de otros países y a la vez dar a conocer mejor la economía mexicana ante los demás países miembros. Asimismo, México ha servido como puente de comunicación entre los países industrializados y los países en desarrollo, sobre todo de la región latinoamericana.</w:t>
      </w:r>
      <w:r>
        <w:rPr>
          <w:rFonts w:ascii="Arial" w:hAnsi="Arial" w:cs="Arial"/>
          <w:color w:val="222222"/>
          <w:sz w:val="18"/>
          <w:szCs w:val="18"/>
        </w:rPr>
        <w:br/>
      </w:r>
      <w:r>
        <w:rPr>
          <w:rFonts w:ascii="Arial" w:hAnsi="Arial" w:cs="Arial"/>
          <w:color w:val="222222"/>
          <w:sz w:val="18"/>
          <w:szCs w:val="18"/>
        </w:rPr>
        <w:br/>
        <w:t>México además, ha presidido en dos ocasiones la Reunión de Consejo a nivel Ministerial de la OCDE, la reunión más importante del año en la Organización. La primera ocasión fue en 1999 y la segunda en 2004 la cual contó con la presencia de cuatro Secretarios de Estado mexicanos.</w:t>
      </w:r>
      <w:r>
        <w:rPr>
          <w:rFonts w:ascii="Arial" w:hAnsi="Arial" w:cs="Arial"/>
          <w:color w:val="222222"/>
          <w:sz w:val="18"/>
          <w:szCs w:val="18"/>
        </w:rPr>
        <w:br/>
      </w:r>
      <w:r>
        <w:rPr>
          <w:rFonts w:ascii="Arial" w:hAnsi="Arial" w:cs="Arial"/>
          <w:color w:val="222222"/>
          <w:sz w:val="18"/>
          <w:szCs w:val="18"/>
        </w:rPr>
        <w:br/>
        <w:t>La OCDE ha efectuado estudios y evaluaciones de México en diversas materias y también ha celebrado en nuestro país reuniones y seminarios. Se ha buscado también que los trabajos de la OCDE tengan amplia difusión y puedan ser aprovechados. México es uno de los cinco países miembros en donde la OCDE ha establecido un centro de distribución de publicaciones.</w:t>
      </w:r>
    </w:p>
    <w:p w:rsidR="00E55409" w:rsidRDefault="00E55409" w:rsidP="00E55409">
      <w:pPr>
        <w:pStyle w:val="Ttulo3"/>
        <w:shd w:val="clear" w:color="auto" w:fill="FFFFFF"/>
        <w:spacing w:before="0" w:after="75" w:line="288" w:lineRule="atLeast"/>
        <w:textAlignment w:val="baseline"/>
        <w:rPr>
          <w:rFonts w:ascii="Arial" w:hAnsi="Arial" w:cs="Arial"/>
          <w:color w:val="111111"/>
          <w:sz w:val="31"/>
          <w:szCs w:val="31"/>
        </w:rPr>
      </w:pPr>
      <w:r>
        <w:rPr>
          <w:rFonts w:ascii="Arial" w:hAnsi="Arial" w:cs="Arial"/>
          <w:color w:val="111111"/>
          <w:sz w:val="31"/>
          <w:szCs w:val="31"/>
        </w:rPr>
        <w:t>Contribuciones de México a la OCDE</w:t>
      </w:r>
    </w:p>
    <w:p w:rsidR="00E55409" w:rsidRDefault="00E55409" w:rsidP="00E55409">
      <w:pPr>
        <w:pStyle w:val="NormalWeb"/>
        <w:shd w:val="clear" w:color="auto" w:fill="FFFFFF"/>
        <w:spacing w:before="75" w:beforeAutospacing="0" w:after="75" w:afterAutospacing="0" w:line="225" w:lineRule="atLeast"/>
        <w:textAlignment w:val="baseline"/>
        <w:rPr>
          <w:rFonts w:ascii="Arial" w:hAnsi="Arial" w:cs="Arial"/>
          <w:color w:val="222222"/>
          <w:sz w:val="18"/>
          <w:szCs w:val="18"/>
        </w:rPr>
      </w:pPr>
      <w:r>
        <w:rPr>
          <w:rFonts w:ascii="Arial" w:hAnsi="Arial" w:cs="Arial"/>
          <w:color w:val="222222"/>
          <w:sz w:val="18"/>
          <w:szCs w:val="18"/>
        </w:rPr>
        <w:t>Ha propiciado la apertura de la OCDE al resto del mundo, enriqueciendo sus análisis y su relevancia. Ha contribuido al debate del desarrollo económico desde la perspectiva de una economía emergente.</w:t>
      </w:r>
    </w:p>
    <w:p w:rsidR="00E55409" w:rsidRDefault="00E55409" w:rsidP="00E55409">
      <w:pPr>
        <w:pStyle w:val="NormalWeb"/>
        <w:shd w:val="clear" w:color="auto" w:fill="FFFFFF"/>
        <w:spacing w:before="75" w:beforeAutospacing="0" w:after="75" w:afterAutospacing="0" w:line="225" w:lineRule="atLeast"/>
        <w:textAlignment w:val="baseline"/>
        <w:rPr>
          <w:rFonts w:ascii="Arial" w:hAnsi="Arial" w:cs="Arial"/>
          <w:color w:val="222222"/>
          <w:sz w:val="18"/>
          <w:szCs w:val="18"/>
        </w:rPr>
      </w:pPr>
      <w:r>
        <w:rPr>
          <w:rFonts w:ascii="Arial" w:hAnsi="Arial" w:cs="Arial"/>
          <w:color w:val="222222"/>
          <w:sz w:val="18"/>
          <w:szCs w:val="18"/>
        </w:rPr>
        <w:t> </w:t>
      </w:r>
    </w:p>
    <w:p w:rsidR="00E55409" w:rsidRDefault="00E55409" w:rsidP="00E55409">
      <w:pPr>
        <w:pStyle w:val="NormalWeb"/>
        <w:shd w:val="clear" w:color="auto" w:fill="FFFFFF"/>
        <w:spacing w:before="75" w:beforeAutospacing="0" w:after="75" w:afterAutospacing="0" w:line="225" w:lineRule="atLeast"/>
        <w:textAlignment w:val="baseline"/>
        <w:rPr>
          <w:rFonts w:ascii="Arial" w:hAnsi="Arial" w:cs="Arial"/>
          <w:color w:val="222222"/>
          <w:sz w:val="18"/>
          <w:szCs w:val="18"/>
        </w:rPr>
      </w:pPr>
      <w:r>
        <w:rPr>
          <w:rFonts w:ascii="Arial" w:hAnsi="Arial" w:cs="Arial"/>
          <w:color w:val="222222"/>
          <w:sz w:val="18"/>
          <w:szCs w:val="18"/>
        </w:rPr>
        <w:t> </w:t>
      </w:r>
    </w:p>
    <w:p w:rsidR="00E55409" w:rsidRDefault="00E55409" w:rsidP="00E55409">
      <w:pPr>
        <w:pStyle w:val="NormalWeb"/>
        <w:shd w:val="clear" w:color="auto" w:fill="FFFFFF"/>
        <w:spacing w:before="75" w:beforeAutospacing="0" w:after="75" w:afterAutospacing="0" w:line="225" w:lineRule="atLeast"/>
        <w:textAlignment w:val="baseline"/>
        <w:rPr>
          <w:rFonts w:ascii="Arial" w:hAnsi="Arial" w:cs="Arial"/>
          <w:color w:val="222222"/>
          <w:sz w:val="18"/>
          <w:szCs w:val="18"/>
        </w:rPr>
      </w:pPr>
      <w:r>
        <w:rPr>
          <w:rFonts w:ascii="Arial" w:hAnsi="Arial" w:cs="Arial"/>
          <w:color w:val="222222"/>
          <w:sz w:val="18"/>
          <w:szCs w:val="18"/>
        </w:rPr>
        <w:t> </w:t>
      </w:r>
    </w:p>
    <w:p w:rsidR="00E55409" w:rsidRPr="00E55409" w:rsidRDefault="00E55409" w:rsidP="00E554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es-MX"/>
        </w:rPr>
      </w:pPr>
    </w:p>
    <w:p w:rsidR="00815FDB" w:rsidRDefault="006C7604">
      <w:pPr>
        <w:rPr>
          <w:rFonts w:ascii="Arial" w:hAnsi="Arial" w:cs="Arial"/>
          <w:color w:val="252525"/>
          <w:sz w:val="20"/>
          <w:szCs w:val="20"/>
          <w:shd w:val="clear" w:color="auto" w:fill="FFFFFF"/>
        </w:rPr>
      </w:pPr>
      <w:r>
        <w:rPr>
          <w:rFonts w:ascii="Arial" w:hAnsi="Arial" w:cs="Arial"/>
          <w:color w:val="252525"/>
          <w:sz w:val="20"/>
          <w:szCs w:val="20"/>
          <w:shd w:val="clear" w:color="auto" w:fill="FFFFFF"/>
        </w:rPr>
        <w:lastRenderedPageBreak/>
        <w:t>La</w:t>
      </w:r>
      <w:r>
        <w:rPr>
          <w:rStyle w:val="apple-converted-space"/>
          <w:rFonts w:ascii="Arial" w:hAnsi="Arial" w:cs="Arial"/>
          <w:color w:val="252525"/>
          <w:sz w:val="20"/>
          <w:szCs w:val="20"/>
          <w:shd w:val="clear" w:color="auto" w:fill="FFFFFF"/>
        </w:rPr>
        <w:t> </w:t>
      </w:r>
      <w:r>
        <w:rPr>
          <w:rFonts w:ascii="Arial" w:hAnsi="Arial" w:cs="Arial"/>
          <w:b/>
          <w:bCs/>
          <w:color w:val="252525"/>
          <w:sz w:val="20"/>
          <w:szCs w:val="20"/>
          <w:shd w:val="clear" w:color="auto" w:fill="FFFFFF"/>
        </w:rPr>
        <w:t>política</w:t>
      </w:r>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(del latín</w:t>
      </w:r>
      <w:r>
        <w:rPr>
          <w:rStyle w:val="apple-converted-space"/>
          <w:rFonts w:ascii="Arial" w:hAnsi="Arial" w:cs="Arial"/>
          <w:color w:val="252525"/>
          <w:sz w:val="20"/>
          <w:szCs w:val="20"/>
          <w:shd w:val="clear" w:color="auto" w:fill="FFFFFF"/>
        </w:rPr>
        <w:t> </w:t>
      </w:r>
      <w:proofErr w:type="spellStart"/>
      <w:r>
        <w:rPr>
          <w:rFonts w:ascii="Arial" w:hAnsi="Arial" w:cs="Arial"/>
          <w:i/>
          <w:iCs/>
          <w:color w:val="252525"/>
          <w:sz w:val="20"/>
          <w:szCs w:val="20"/>
          <w:shd w:val="clear" w:color="auto" w:fill="FFFFFF"/>
        </w:rPr>
        <w:t>politicus</w:t>
      </w:r>
      <w:proofErr w:type="spellEnd"/>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y ésta del griego antiguo π</w:t>
      </w:r>
      <w:proofErr w:type="spellStart"/>
      <w:r>
        <w:rPr>
          <w:rFonts w:ascii="Arial" w:hAnsi="Arial" w:cs="Arial"/>
          <w:color w:val="252525"/>
          <w:sz w:val="20"/>
          <w:szCs w:val="20"/>
          <w:shd w:val="clear" w:color="auto" w:fill="FFFFFF"/>
        </w:rPr>
        <w:t>ολιτικός</w:t>
      </w:r>
      <w:proofErr w:type="spellEnd"/>
      <w:r>
        <w:rPr>
          <w:rFonts w:ascii="Arial" w:hAnsi="Arial" w:cs="Arial"/>
          <w:color w:val="252525"/>
          <w:sz w:val="20"/>
          <w:szCs w:val="20"/>
          <w:shd w:val="clear" w:color="auto" w:fill="FFFFFF"/>
        </w:rPr>
        <w:t xml:space="preserve"> 'civil, relativo al ordenamiento de la ciudad o los asuntos del ciudadano') es una rama de </w:t>
      </w:r>
      <w:proofErr w:type="spellStart"/>
      <w:r>
        <w:rPr>
          <w:rFonts w:ascii="Arial" w:hAnsi="Arial" w:cs="Arial"/>
          <w:color w:val="252525"/>
          <w:sz w:val="20"/>
          <w:szCs w:val="20"/>
          <w:shd w:val="clear" w:color="auto" w:fill="FFFFFF"/>
        </w:rPr>
        <w:t>la</w:t>
      </w:r>
      <w:hyperlink r:id="rId11" w:tooltip="Moral" w:history="1">
        <w:r>
          <w:rPr>
            <w:rStyle w:val="Hipervnculo"/>
            <w:rFonts w:ascii="Arial" w:hAnsi="Arial" w:cs="Arial"/>
            <w:color w:val="0B0080"/>
            <w:sz w:val="20"/>
            <w:szCs w:val="20"/>
            <w:u w:val="none"/>
            <w:shd w:val="clear" w:color="auto" w:fill="FFFFFF"/>
          </w:rPr>
          <w:t>moral</w:t>
        </w:r>
        <w:proofErr w:type="spellEnd"/>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que se ocupa de la actividad, en virtud de la cual una</w:t>
      </w:r>
      <w:r>
        <w:rPr>
          <w:rStyle w:val="apple-converted-space"/>
          <w:rFonts w:ascii="Arial" w:hAnsi="Arial" w:cs="Arial"/>
          <w:color w:val="252525"/>
          <w:sz w:val="20"/>
          <w:szCs w:val="20"/>
          <w:shd w:val="clear" w:color="auto" w:fill="FFFFFF"/>
        </w:rPr>
        <w:t> </w:t>
      </w:r>
      <w:hyperlink r:id="rId12" w:tooltip="Sociedad" w:history="1">
        <w:r>
          <w:rPr>
            <w:rStyle w:val="Hipervnculo"/>
            <w:rFonts w:ascii="Arial" w:hAnsi="Arial" w:cs="Arial"/>
            <w:color w:val="0B0080"/>
            <w:sz w:val="20"/>
            <w:szCs w:val="20"/>
            <w:u w:val="none"/>
            <w:shd w:val="clear" w:color="auto" w:fill="FFFFFF"/>
          </w:rPr>
          <w:t>sociedad</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libre, compuesta por mujeres y hombres libres, resuelve los problemas que le plantea su convivencia colectiva. Es un quehacer ordenado al</w:t>
      </w:r>
      <w:r>
        <w:rPr>
          <w:rStyle w:val="apple-converted-space"/>
          <w:rFonts w:ascii="Arial" w:hAnsi="Arial" w:cs="Arial"/>
          <w:color w:val="252525"/>
          <w:sz w:val="20"/>
          <w:szCs w:val="20"/>
          <w:shd w:val="clear" w:color="auto" w:fill="FFFFFF"/>
        </w:rPr>
        <w:t> </w:t>
      </w:r>
      <w:hyperlink r:id="rId13" w:tooltip="Bien común" w:history="1">
        <w:r>
          <w:rPr>
            <w:rStyle w:val="Hipervnculo"/>
            <w:rFonts w:ascii="Arial" w:hAnsi="Arial" w:cs="Arial"/>
            <w:color w:val="0B0080"/>
            <w:sz w:val="20"/>
            <w:szCs w:val="20"/>
            <w:u w:val="none"/>
            <w:shd w:val="clear" w:color="auto" w:fill="FFFFFF"/>
          </w:rPr>
          <w:t>bien común</w:t>
        </w:r>
      </w:hyperlink>
      <w:r>
        <w:rPr>
          <w:rFonts w:ascii="Arial" w:hAnsi="Arial" w:cs="Arial"/>
          <w:color w:val="252525"/>
          <w:sz w:val="20"/>
          <w:szCs w:val="20"/>
          <w:shd w:val="clear" w:color="auto" w:fill="FFFFFF"/>
        </w:rPr>
        <w:t>. Ciencia que se encarga del estudio del poder público o del Estado. Algunos autores presentan al</w:t>
      </w:r>
      <w:r>
        <w:rPr>
          <w:rStyle w:val="apple-converted-space"/>
          <w:rFonts w:ascii="Arial" w:hAnsi="Arial" w:cs="Arial"/>
          <w:color w:val="252525"/>
          <w:sz w:val="20"/>
          <w:szCs w:val="20"/>
          <w:shd w:val="clear" w:color="auto" w:fill="FFFFFF"/>
        </w:rPr>
        <w:t> </w:t>
      </w:r>
      <w:hyperlink r:id="rId14" w:tooltip="Uso de la fuerza" w:history="1">
        <w:r>
          <w:rPr>
            <w:rStyle w:val="Hipervnculo"/>
            <w:rFonts w:ascii="Arial" w:hAnsi="Arial" w:cs="Arial"/>
            <w:color w:val="0B0080"/>
            <w:sz w:val="20"/>
            <w:szCs w:val="20"/>
            <w:u w:val="none"/>
            <w:shd w:val="clear" w:color="auto" w:fill="FFFFFF"/>
          </w:rPr>
          <w:t>uso legítimo de la fuerza</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como la característica principal de la política. Siguiendo con esta definición la política es el ejercicio del poder que busca un fin trascendente. Ésta promueve la</w:t>
      </w:r>
      <w:r>
        <w:rPr>
          <w:rStyle w:val="apple-converted-space"/>
          <w:rFonts w:ascii="Arial" w:hAnsi="Arial" w:cs="Arial"/>
          <w:color w:val="252525"/>
          <w:sz w:val="20"/>
          <w:szCs w:val="20"/>
          <w:shd w:val="clear" w:color="auto" w:fill="FFFFFF"/>
        </w:rPr>
        <w:t> </w:t>
      </w:r>
      <w:hyperlink r:id="rId15" w:tooltip="Participación ciudadana" w:history="1">
        <w:r>
          <w:rPr>
            <w:rStyle w:val="Hipervnculo"/>
            <w:rFonts w:ascii="Arial" w:hAnsi="Arial" w:cs="Arial"/>
            <w:color w:val="0B0080"/>
            <w:sz w:val="20"/>
            <w:szCs w:val="20"/>
            <w:u w:val="none"/>
            <w:shd w:val="clear" w:color="auto" w:fill="FFFFFF"/>
          </w:rPr>
          <w:t>participación ciudadana</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ya que posee la capacidad de distribuir y ejecutar el poder según sea necesario para promover el bien común.</w:t>
      </w:r>
    </w:p>
    <w:tbl>
      <w:tblPr>
        <w:tblW w:w="4800" w:type="pct"/>
        <w:tblCellSpacing w:w="7" w:type="dxa"/>
        <w:tblBorders>
          <w:top w:val="single" w:sz="6" w:space="0" w:color="EEEEEE"/>
          <w:left w:val="single" w:sz="6" w:space="0" w:color="EEEEEE"/>
          <w:bottom w:val="single" w:sz="6" w:space="0" w:color="EEEEEE"/>
          <w:right w:val="single" w:sz="6" w:space="0" w:color="EEEEEE"/>
        </w:tblBorders>
        <w:shd w:val="clear" w:color="auto" w:fill="FFFFFF"/>
        <w:tblCellMar>
          <w:top w:w="30" w:type="dxa"/>
          <w:left w:w="30" w:type="dxa"/>
          <w:bottom w:w="30" w:type="dxa"/>
          <w:right w:w="30" w:type="dxa"/>
        </w:tblCellMar>
        <w:tblLook w:val="04A0" w:firstRow="1" w:lastRow="0" w:firstColumn="1" w:lastColumn="0" w:noHBand="0" w:noVBand="1"/>
      </w:tblPr>
      <w:tblGrid>
        <w:gridCol w:w="8569"/>
      </w:tblGrid>
      <w:tr w:rsidR="006C7604" w:rsidRPr="006C7604" w:rsidTr="006C7604">
        <w:trPr>
          <w:tblCellSpacing w:w="7" w:type="dxa"/>
        </w:trPr>
        <w:tc>
          <w:tcPr>
            <w:tcW w:w="0" w:type="auto"/>
            <w:tcBorders>
              <w:top w:val="nil"/>
              <w:left w:val="nil"/>
              <w:right w:val="nil"/>
            </w:tcBorders>
            <w:shd w:val="clear" w:color="auto" w:fill="FFFFFF"/>
            <w:vAlign w:val="center"/>
            <w:hideMark/>
          </w:tcPr>
          <w:p w:rsidR="006C7604" w:rsidRPr="006C7604" w:rsidRDefault="006C7604" w:rsidP="006C7604">
            <w:pPr>
              <w:spacing w:after="0" w:line="240" w:lineRule="auto"/>
              <w:rPr>
                <w:rFonts w:ascii="Verdana" w:eastAsia="Times New Roman" w:hAnsi="Verdana" w:cs="Times New Roman"/>
                <w:color w:val="000000"/>
                <w:sz w:val="17"/>
                <w:szCs w:val="17"/>
                <w:lang w:eastAsia="es-MX"/>
              </w:rPr>
            </w:pPr>
            <w:r w:rsidRPr="006C7604">
              <w:rPr>
                <w:rFonts w:ascii="Verdana" w:eastAsia="Times New Roman" w:hAnsi="Verdana" w:cs="Times New Roman"/>
                <w:b/>
                <w:bCs/>
                <w:color w:val="000000"/>
                <w:sz w:val="17"/>
                <w:szCs w:val="17"/>
                <w:lang w:eastAsia="es-MX"/>
              </w:rPr>
              <w:t>¿Qué se entiende por políticas educativas? </w:t>
            </w:r>
          </w:p>
        </w:tc>
      </w:tr>
      <w:tr w:rsidR="006C7604" w:rsidRPr="006C7604" w:rsidTr="006C7604">
        <w:trPr>
          <w:tblCellSpacing w:w="7" w:type="dxa"/>
        </w:trPr>
        <w:tc>
          <w:tcPr>
            <w:tcW w:w="0" w:type="auto"/>
            <w:shd w:val="clear" w:color="auto" w:fill="FFFFFF"/>
            <w:vAlign w:val="center"/>
            <w:hideMark/>
          </w:tcPr>
          <w:p w:rsidR="006C7604" w:rsidRPr="006C7604" w:rsidRDefault="006C7604" w:rsidP="006C7604">
            <w:pPr>
              <w:spacing w:after="0" w:line="240" w:lineRule="auto"/>
              <w:rPr>
                <w:rFonts w:ascii="Verdana" w:eastAsia="Times New Roman" w:hAnsi="Verdana" w:cs="Times New Roman"/>
                <w:color w:val="000000"/>
                <w:sz w:val="15"/>
                <w:szCs w:val="15"/>
                <w:lang w:eastAsia="es-MX"/>
              </w:rPr>
            </w:pPr>
            <w:r w:rsidRPr="006C7604">
              <w:rPr>
                <w:rFonts w:ascii="Verdana" w:eastAsia="Times New Roman" w:hAnsi="Verdana" w:cs="Times New Roman"/>
                <w:color w:val="000000"/>
                <w:sz w:val="15"/>
                <w:szCs w:val="15"/>
                <w:lang w:eastAsia="es-MX"/>
              </w:rPr>
              <w:t xml:space="preserve">Las políticas </w:t>
            </w:r>
            <w:proofErr w:type="spellStart"/>
            <w:r w:rsidRPr="006C7604">
              <w:rPr>
                <w:rFonts w:ascii="Verdana" w:eastAsia="Times New Roman" w:hAnsi="Verdana" w:cs="Times New Roman"/>
                <w:color w:val="000000"/>
                <w:sz w:val="15"/>
                <w:szCs w:val="15"/>
                <w:lang w:eastAsia="es-MX"/>
              </w:rPr>
              <w:t>publicas</w:t>
            </w:r>
            <w:proofErr w:type="spellEnd"/>
            <w:r w:rsidRPr="006C7604">
              <w:rPr>
                <w:rFonts w:ascii="Verdana" w:eastAsia="Times New Roman" w:hAnsi="Verdana" w:cs="Times New Roman"/>
                <w:color w:val="000000"/>
                <w:sz w:val="15"/>
                <w:szCs w:val="15"/>
                <w:lang w:eastAsia="es-MX"/>
              </w:rPr>
              <w:t>: corresponden a la acción de una autoridad investida de poder público y de legitimidad gubernamental (</w:t>
            </w:r>
            <w:proofErr w:type="spellStart"/>
            <w:r w:rsidRPr="006C7604">
              <w:rPr>
                <w:rFonts w:ascii="Verdana" w:eastAsia="Times New Roman" w:hAnsi="Verdana" w:cs="Times New Roman"/>
                <w:color w:val="000000"/>
                <w:sz w:val="15"/>
                <w:szCs w:val="15"/>
                <w:lang w:eastAsia="es-MX"/>
              </w:rPr>
              <w:t>Meny</w:t>
            </w:r>
            <w:proofErr w:type="spellEnd"/>
            <w:r w:rsidRPr="006C7604">
              <w:rPr>
                <w:rFonts w:ascii="Verdana" w:eastAsia="Times New Roman" w:hAnsi="Verdana" w:cs="Times New Roman"/>
                <w:color w:val="000000"/>
                <w:sz w:val="15"/>
                <w:szCs w:val="15"/>
                <w:lang w:eastAsia="es-MX"/>
              </w:rPr>
              <w:t xml:space="preserve"> y </w:t>
            </w:r>
            <w:proofErr w:type="spellStart"/>
            <w:r w:rsidRPr="006C7604">
              <w:rPr>
                <w:rFonts w:ascii="Verdana" w:eastAsia="Times New Roman" w:hAnsi="Verdana" w:cs="Times New Roman"/>
                <w:color w:val="000000"/>
                <w:sz w:val="15"/>
                <w:szCs w:val="15"/>
                <w:lang w:eastAsia="es-MX"/>
              </w:rPr>
              <w:t>Thoenig</w:t>
            </w:r>
            <w:proofErr w:type="spellEnd"/>
            <w:r w:rsidRPr="006C7604">
              <w:rPr>
                <w:rFonts w:ascii="Verdana" w:eastAsia="Times New Roman" w:hAnsi="Verdana" w:cs="Times New Roman"/>
                <w:color w:val="000000"/>
                <w:sz w:val="15"/>
                <w:szCs w:val="15"/>
                <w:lang w:eastAsia="es-MX"/>
              </w:rPr>
              <w:t xml:space="preserve"> )</w:t>
            </w:r>
          </w:p>
        </w:tc>
      </w:tr>
      <w:tr w:rsidR="006C7604" w:rsidRPr="006C7604" w:rsidTr="006C7604">
        <w:trPr>
          <w:tblCellSpacing w:w="7" w:type="dxa"/>
        </w:trPr>
        <w:tc>
          <w:tcPr>
            <w:tcW w:w="0" w:type="auto"/>
            <w:shd w:val="clear" w:color="auto" w:fill="FFFFFF"/>
            <w:vAlign w:val="center"/>
            <w:hideMark/>
          </w:tcPr>
          <w:p w:rsidR="006C7604" w:rsidRPr="006C7604" w:rsidRDefault="006C7604" w:rsidP="006C7604">
            <w:pPr>
              <w:spacing w:after="0" w:line="240" w:lineRule="auto"/>
              <w:jc w:val="both"/>
              <w:rPr>
                <w:rFonts w:ascii="Times New Roman" w:eastAsia="Times New Roman" w:hAnsi="Times New Roman" w:cs="Times New Roman"/>
                <w:color w:val="000000"/>
                <w:sz w:val="24"/>
                <w:szCs w:val="24"/>
                <w:lang w:eastAsia="es-MX"/>
              </w:rPr>
            </w:pPr>
            <w:r w:rsidRPr="006C7604">
              <w:rPr>
                <w:rFonts w:ascii="Times New Roman" w:eastAsia="Times New Roman" w:hAnsi="Times New Roman" w:cs="Times New Roman"/>
                <w:b/>
                <w:bCs/>
                <w:color w:val="000000"/>
                <w:sz w:val="24"/>
                <w:szCs w:val="24"/>
                <w:lang w:val="es-ES" w:eastAsia="es-MX"/>
              </w:rPr>
              <w:t>¿Qué se entiende por políticas educativas?</w:t>
            </w:r>
          </w:p>
          <w:p w:rsidR="006C7604" w:rsidRPr="006C7604" w:rsidRDefault="006C7604" w:rsidP="006C7604">
            <w:pPr>
              <w:spacing w:after="0" w:line="240" w:lineRule="auto"/>
              <w:jc w:val="both"/>
              <w:rPr>
                <w:rFonts w:ascii="Times New Roman" w:eastAsia="Times New Roman" w:hAnsi="Times New Roman" w:cs="Times New Roman"/>
                <w:color w:val="000000"/>
                <w:sz w:val="24"/>
                <w:szCs w:val="24"/>
                <w:lang w:eastAsia="es-MX"/>
              </w:rPr>
            </w:pPr>
            <w:r w:rsidRPr="006C7604">
              <w:rPr>
                <w:rFonts w:ascii="Times New Roman" w:eastAsia="Times New Roman" w:hAnsi="Times New Roman" w:cs="Times New Roman"/>
                <w:b/>
                <w:bCs/>
                <w:color w:val="000000"/>
                <w:sz w:val="24"/>
                <w:szCs w:val="24"/>
                <w:lang w:val="es-ES" w:eastAsia="es-MX"/>
              </w:rPr>
              <w:t> </w:t>
            </w:r>
          </w:p>
          <w:p w:rsidR="006C7604" w:rsidRPr="006C7604" w:rsidRDefault="006C7604" w:rsidP="006C7604">
            <w:pPr>
              <w:numPr>
                <w:ilvl w:val="0"/>
                <w:numId w:val="9"/>
              </w:numPr>
              <w:spacing w:after="0" w:line="240" w:lineRule="auto"/>
              <w:jc w:val="both"/>
              <w:rPr>
                <w:rFonts w:ascii="Times New Roman" w:eastAsia="Times New Roman" w:hAnsi="Times New Roman" w:cs="Times New Roman"/>
                <w:color w:val="000000"/>
                <w:sz w:val="24"/>
                <w:szCs w:val="24"/>
                <w:lang w:eastAsia="es-MX"/>
              </w:rPr>
            </w:pPr>
            <w:r w:rsidRPr="006C7604">
              <w:rPr>
                <w:rFonts w:ascii="Times New Roman" w:eastAsia="Times New Roman" w:hAnsi="Times New Roman" w:cs="Times New Roman"/>
                <w:b/>
                <w:bCs/>
                <w:color w:val="000000"/>
                <w:sz w:val="24"/>
                <w:szCs w:val="24"/>
                <w:lang w:val="es-ES" w:eastAsia="es-MX"/>
              </w:rPr>
              <w:t>Formulación de proyectos y planes de largo plazo</w:t>
            </w:r>
          </w:p>
          <w:p w:rsidR="006C7604" w:rsidRPr="006C7604" w:rsidRDefault="006C7604" w:rsidP="006C7604">
            <w:pPr>
              <w:numPr>
                <w:ilvl w:val="0"/>
                <w:numId w:val="9"/>
              </w:numPr>
              <w:spacing w:after="0" w:line="240" w:lineRule="auto"/>
              <w:jc w:val="both"/>
              <w:rPr>
                <w:rFonts w:ascii="Times New Roman" w:eastAsia="Times New Roman" w:hAnsi="Times New Roman" w:cs="Times New Roman"/>
                <w:color w:val="000000"/>
                <w:sz w:val="24"/>
                <w:szCs w:val="24"/>
                <w:lang w:eastAsia="es-MX"/>
              </w:rPr>
            </w:pPr>
            <w:r w:rsidRPr="006C7604">
              <w:rPr>
                <w:rFonts w:ascii="Times New Roman" w:eastAsia="Times New Roman" w:hAnsi="Times New Roman" w:cs="Times New Roman"/>
                <w:b/>
                <w:bCs/>
                <w:color w:val="000000"/>
                <w:sz w:val="24"/>
                <w:szCs w:val="24"/>
                <w:lang w:val="es-ES" w:eastAsia="es-MX"/>
              </w:rPr>
              <w:t>Decisiones de coyuntura de actores políticos</w:t>
            </w:r>
          </w:p>
          <w:p w:rsidR="006C7604" w:rsidRPr="006C7604" w:rsidRDefault="006C7604" w:rsidP="006C7604">
            <w:pPr>
              <w:numPr>
                <w:ilvl w:val="0"/>
                <w:numId w:val="9"/>
              </w:numPr>
              <w:spacing w:after="0" w:line="240" w:lineRule="auto"/>
              <w:jc w:val="both"/>
              <w:rPr>
                <w:rFonts w:ascii="Times New Roman" w:eastAsia="Times New Roman" w:hAnsi="Times New Roman" w:cs="Times New Roman"/>
                <w:color w:val="000000"/>
                <w:sz w:val="24"/>
                <w:szCs w:val="24"/>
                <w:lang w:eastAsia="es-MX"/>
              </w:rPr>
            </w:pPr>
            <w:r w:rsidRPr="006C7604">
              <w:rPr>
                <w:rFonts w:ascii="Times New Roman" w:eastAsia="Times New Roman" w:hAnsi="Times New Roman" w:cs="Times New Roman"/>
                <w:b/>
                <w:bCs/>
                <w:color w:val="000000"/>
                <w:sz w:val="24"/>
                <w:szCs w:val="24"/>
                <w:lang w:val="es-ES" w:eastAsia="es-MX"/>
              </w:rPr>
              <w:t>Nuevas leyes</w:t>
            </w:r>
          </w:p>
          <w:p w:rsidR="006C7604" w:rsidRPr="006C7604" w:rsidRDefault="006C7604" w:rsidP="006C7604">
            <w:pPr>
              <w:numPr>
                <w:ilvl w:val="0"/>
                <w:numId w:val="9"/>
              </w:numPr>
              <w:spacing w:after="0" w:line="240" w:lineRule="auto"/>
              <w:jc w:val="both"/>
              <w:rPr>
                <w:rFonts w:ascii="Times New Roman" w:eastAsia="Times New Roman" w:hAnsi="Times New Roman" w:cs="Times New Roman"/>
                <w:color w:val="000000"/>
                <w:sz w:val="24"/>
                <w:szCs w:val="24"/>
                <w:lang w:eastAsia="es-MX"/>
              </w:rPr>
            </w:pPr>
            <w:r w:rsidRPr="006C7604">
              <w:rPr>
                <w:rFonts w:ascii="Times New Roman" w:eastAsia="Times New Roman" w:hAnsi="Times New Roman" w:cs="Times New Roman"/>
                <w:b/>
                <w:bCs/>
                <w:color w:val="000000"/>
                <w:sz w:val="24"/>
                <w:szCs w:val="24"/>
                <w:lang w:val="es-ES" w:eastAsia="es-MX"/>
              </w:rPr>
              <w:t>Determinación del presupuesto</w:t>
            </w:r>
          </w:p>
          <w:p w:rsidR="006C7604" w:rsidRPr="006C7604" w:rsidRDefault="006C7604" w:rsidP="006C7604">
            <w:pPr>
              <w:numPr>
                <w:ilvl w:val="0"/>
                <w:numId w:val="9"/>
              </w:numPr>
              <w:spacing w:after="0" w:line="240" w:lineRule="auto"/>
              <w:jc w:val="both"/>
              <w:rPr>
                <w:rFonts w:ascii="Times New Roman" w:eastAsia="Times New Roman" w:hAnsi="Times New Roman" w:cs="Times New Roman"/>
                <w:color w:val="000000"/>
                <w:sz w:val="24"/>
                <w:szCs w:val="24"/>
                <w:lang w:eastAsia="es-MX"/>
              </w:rPr>
            </w:pPr>
            <w:r w:rsidRPr="006C7604">
              <w:rPr>
                <w:rFonts w:ascii="Times New Roman" w:eastAsia="Times New Roman" w:hAnsi="Times New Roman" w:cs="Times New Roman"/>
                <w:b/>
                <w:bCs/>
                <w:color w:val="000000"/>
                <w:sz w:val="24"/>
                <w:szCs w:val="24"/>
                <w:lang w:val="es-ES" w:eastAsia="es-MX"/>
              </w:rPr>
              <w:t>Proceso complejo con intervención de múltiples actores</w:t>
            </w:r>
          </w:p>
        </w:tc>
      </w:tr>
    </w:tbl>
    <w:p w:rsidR="006C7604" w:rsidRPr="00E55409" w:rsidRDefault="006C7604">
      <w:pPr>
        <w:rPr>
          <w:color w:val="000000" w:themeColor="text1"/>
        </w:rPr>
      </w:pPr>
      <w:bookmarkStart w:id="0" w:name="_GoBack"/>
      <w:bookmarkEnd w:id="0"/>
    </w:p>
    <w:sectPr w:rsidR="006C7604" w:rsidRPr="00E554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1230"/>
    <w:multiLevelType w:val="multilevel"/>
    <w:tmpl w:val="BDA04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C4223"/>
    <w:multiLevelType w:val="multilevel"/>
    <w:tmpl w:val="F48A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2602B8"/>
    <w:multiLevelType w:val="multilevel"/>
    <w:tmpl w:val="D368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51691C"/>
    <w:multiLevelType w:val="multilevel"/>
    <w:tmpl w:val="526A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7D7086"/>
    <w:multiLevelType w:val="multilevel"/>
    <w:tmpl w:val="15F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DC33A8"/>
    <w:multiLevelType w:val="multilevel"/>
    <w:tmpl w:val="C89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FE43FD"/>
    <w:multiLevelType w:val="multilevel"/>
    <w:tmpl w:val="07A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BA0525"/>
    <w:multiLevelType w:val="multilevel"/>
    <w:tmpl w:val="1C0E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D11599"/>
    <w:multiLevelType w:val="multilevel"/>
    <w:tmpl w:val="9EFC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5"/>
  </w:num>
  <w:num w:numId="5">
    <w:abstractNumId w:val="3"/>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09"/>
    <w:rsid w:val="00124CB0"/>
    <w:rsid w:val="001C1748"/>
    <w:rsid w:val="006C7604"/>
    <w:rsid w:val="00E554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554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554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554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55409"/>
  </w:style>
  <w:style w:type="character" w:styleId="Hipervnculo">
    <w:name w:val="Hyperlink"/>
    <w:basedOn w:val="Fuentedeprrafopredeter"/>
    <w:uiPriority w:val="99"/>
    <w:semiHidden/>
    <w:unhideWhenUsed/>
    <w:rsid w:val="00E55409"/>
    <w:rPr>
      <w:color w:val="0000FF"/>
      <w:u w:val="single"/>
    </w:rPr>
  </w:style>
  <w:style w:type="character" w:customStyle="1" w:styleId="Ttulo2Car">
    <w:name w:val="Título 2 Car"/>
    <w:basedOn w:val="Fuentedeprrafopredeter"/>
    <w:link w:val="Ttulo2"/>
    <w:uiPriority w:val="9"/>
    <w:rsid w:val="00E55409"/>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E554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55409"/>
    <w:rPr>
      <w:b/>
      <w:bCs/>
    </w:rPr>
  </w:style>
  <w:style w:type="character" w:customStyle="1" w:styleId="Ttulo1Car">
    <w:name w:val="Título 1 Car"/>
    <w:basedOn w:val="Fuentedeprrafopredeter"/>
    <w:link w:val="Ttulo1"/>
    <w:uiPriority w:val="9"/>
    <w:rsid w:val="00E55409"/>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E554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554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554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554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55409"/>
  </w:style>
  <w:style w:type="character" w:styleId="Hipervnculo">
    <w:name w:val="Hyperlink"/>
    <w:basedOn w:val="Fuentedeprrafopredeter"/>
    <w:uiPriority w:val="99"/>
    <w:semiHidden/>
    <w:unhideWhenUsed/>
    <w:rsid w:val="00E55409"/>
    <w:rPr>
      <w:color w:val="0000FF"/>
      <w:u w:val="single"/>
    </w:rPr>
  </w:style>
  <w:style w:type="character" w:customStyle="1" w:styleId="Ttulo2Car">
    <w:name w:val="Título 2 Car"/>
    <w:basedOn w:val="Fuentedeprrafopredeter"/>
    <w:link w:val="Ttulo2"/>
    <w:uiPriority w:val="9"/>
    <w:rsid w:val="00E55409"/>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E554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55409"/>
    <w:rPr>
      <w:b/>
      <w:bCs/>
    </w:rPr>
  </w:style>
  <w:style w:type="character" w:customStyle="1" w:styleId="Ttulo1Car">
    <w:name w:val="Título 1 Car"/>
    <w:basedOn w:val="Fuentedeprrafopredeter"/>
    <w:link w:val="Ttulo1"/>
    <w:uiPriority w:val="9"/>
    <w:rsid w:val="00E55409"/>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E554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30897">
      <w:bodyDiv w:val="1"/>
      <w:marLeft w:val="0"/>
      <w:marRight w:val="0"/>
      <w:marTop w:val="0"/>
      <w:marBottom w:val="0"/>
      <w:divBdr>
        <w:top w:val="none" w:sz="0" w:space="0" w:color="auto"/>
        <w:left w:val="none" w:sz="0" w:space="0" w:color="auto"/>
        <w:bottom w:val="none" w:sz="0" w:space="0" w:color="auto"/>
        <w:right w:val="none" w:sz="0" w:space="0" w:color="auto"/>
      </w:divBdr>
      <w:divsChild>
        <w:div w:id="1358778447">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 w:id="1284264648">
      <w:bodyDiv w:val="1"/>
      <w:marLeft w:val="0"/>
      <w:marRight w:val="0"/>
      <w:marTop w:val="0"/>
      <w:marBottom w:val="0"/>
      <w:divBdr>
        <w:top w:val="none" w:sz="0" w:space="0" w:color="auto"/>
        <w:left w:val="none" w:sz="0" w:space="0" w:color="auto"/>
        <w:bottom w:val="none" w:sz="0" w:space="0" w:color="auto"/>
        <w:right w:val="none" w:sz="0" w:space="0" w:color="auto"/>
      </w:divBdr>
    </w:div>
    <w:div w:id="1572691075">
      <w:bodyDiv w:val="1"/>
      <w:marLeft w:val="0"/>
      <w:marRight w:val="0"/>
      <w:marTop w:val="0"/>
      <w:marBottom w:val="0"/>
      <w:divBdr>
        <w:top w:val="none" w:sz="0" w:space="0" w:color="auto"/>
        <w:left w:val="none" w:sz="0" w:space="0" w:color="auto"/>
        <w:bottom w:val="none" w:sz="0" w:space="0" w:color="auto"/>
        <w:right w:val="none" w:sz="0" w:space="0" w:color="auto"/>
      </w:divBdr>
    </w:div>
    <w:div w:id="1630473171">
      <w:bodyDiv w:val="1"/>
      <w:marLeft w:val="0"/>
      <w:marRight w:val="0"/>
      <w:marTop w:val="0"/>
      <w:marBottom w:val="0"/>
      <w:divBdr>
        <w:top w:val="none" w:sz="0" w:space="0" w:color="auto"/>
        <w:left w:val="none" w:sz="0" w:space="0" w:color="auto"/>
        <w:bottom w:val="none" w:sz="0" w:space="0" w:color="auto"/>
        <w:right w:val="none" w:sz="0" w:space="0" w:color="auto"/>
      </w:divBdr>
    </w:div>
    <w:div w:id="17158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general/eng/legal/convent.shtml" TargetMode="External"/><Relationship Id="rId13" Type="http://schemas.openxmlformats.org/officeDocument/2006/relationships/hyperlink" Target="http://es.wikipedia.org/wiki/Bien_com%C3%BAn" TargetMode="External"/><Relationship Id="rId3" Type="http://schemas.microsoft.com/office/2007/relationships/stylesWithEffects" Target="stylesWithEffects.xml"/><Relationship Id="rId7" Type="http://schemas.openxmlformats.org/officeDocument/2006/relationships/hyperlink" Target="http://www.unesco.org/general/eng/about/members.shtml" TargetMode="External"/><Relationship Id="rId12" Type="http://schemas.openxmlformats.org/officeDocument/2006/relationships/hyperlink" Target="http://es.wikipedia.org/wiki/Socied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nesco.org/general/eng/about/constitution/" TargetMode="External"/><Relationship Id="rId11" Type="http://schemas.openxmlformats.org/officeDocument/2006/relationships/hyperlink" Target="http://es.wikipedia.org/wiki/Moral" TargetMode="External"/><Relationship Id="rId5" Type="http://schemas.openxmlformats.org/officeDocument/2006/relationships/webSettings" Target="webSettings.xml"/><Relationship Id="rId15" Type="http://schemas.openxmlformats.org/officeDocument/2006/relationships/hyperlink" Target="http://es.wikipedia.org/wiki/Participaci%C3%B3n_ciudadana" TargetMode="External"/><Relationship Id="rId10" Type="http://schemas.openxmlformats.org/officeDocument/2006/relationships/hyperlink" Target="http://www.oecd.org/centrodemexico/laocde/El%20trabajo%20estad%C3%ADstico%20de%20la%20OCDE%20EBOOK.pdf" TargetMode="External"/><Relationship Id="rId4" Type="http://schemas.openxmlformats.org/officeDocument/2006/relationships/settings" Target="settings.xml"/><Relationship Id="rId9" Type="http://schemas.openxmlformats.org/officeDocument/2006/relationships/hyperlink" Target="http://www.oecd.org/centrodemexico/laocde/laocdeenmexico.htm" TargetMode="External"/><Relationship Id="rId14" Type="http://schemas.openxmlformats.org/officeDocument/2006/relationships/hyperlink" Target="http://es.wikipedia.org/wiki/Uso_de_la_fuer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1287</Words>
  <Characters>7083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Guevara</dc:creator>
  <cp:lastModifiedBy>Guevara</cp:lastModifiedBy>
  <cp:revision>1</cp:revision>
  <cp:lastPrinted>2014-12-02T11:39:00Z</cp:lastPrinted>
  <dcterms:created xsi:type="dcterms:W3CDTF">2014-12-02T11:08:00Z</dcterms:created>
  <dcterms:modified xsi:type="dcterms:W3CDTF">2014-12-02T11:41:00Z</dcterms:modified>
</cp:coreProperties>
</file>