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984"/>
        <w:gridCol w:w="3119"/>
        <w:gridCol w:w="3969"/>
      </w:tblGrid>
      <w:tr w:rsidR="005D5D2E" w:rsidRPr="002E6C61" w:rsidTr="005D5D2E">
        <w:trPr>
          <w:trHeight w:val="743"/>
        </w:trPr>
        <w:tc>
          <w:tcPr>
            <w:tcW w:w="11770" w:type="dxa"/>
            <w:gridSpan w:val="4"/>
            <w:shd w:val="clear" w:color="auto" w:fill="F1F1F1"/>
          </w:tcPr>
          <w:p w:rsidR="005D5D2E" w:rsidRPr="005D5D2E" w:rsidRDefault="005D5D2E" w:rsidP="00D42DA7">
            <w:pPr>
              <w:pStyle w:val="TableParagraph"/>
              <w:spacing w:before="121" w:line="276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D5D2E">
              <w:rPr>
                <w:rFonts w:ascii="Times New Roman" w:hAnsi="Times New Roman" w:cs="Times New Roman"/>
                <w:w w:val="125"/>
                <w:sz w:val="24"/>
                <w:szCs w:val="24"/>
              </w:rPr>
              <w:t>¿Cómo se construye una propuesta didáctica alfabetizadora sin caer en los aplicacionismos?</w:t>
            </w:r>
          </w:p>
        </w:tc>
      </w:tr>
      <w:tr w:rsidR="005D5D2E" w:rsidRPr="002E6C61" w:rsidTr="005D5D2E">
        <w:trPr>
          <w:trHeight w:val="1501"/>
        </w:trPr>
        <w:tc>
          <w:tcPr>
            <w:tcW w:w="2698" w:type="dxa"/>
          </w:tcPr>
          <w:p w:rsidR="005D5D2E" w:rsidRPr="005D5D2E" w:rsidRDefault="005D5D2E" w:rsidP="00D42DA7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D2E" w:rsidRPr="005D5D2E" w:rsidRDefault="005D5D2E" w:rsidP="00D42DA7">
            <w:pPr>
              <w:pStyle w:val="TableParagraph"/>
              <w:spacing w:line="276" w:lineRule="auto"/>
              <w:ind w:left="107"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D5D2E">
              <w:rPr>
                <w:rFonts w:ascii="Times New Roman" w:hAnsi="Times New Roman" w:cs="Times New Roman"/>
                <w:w w:val="125"/>
                <w:sz w:val="24"/>
                <w:szCs w:val="24"/>
              </w:rPr>
              <w:t>Explicitación y uso de los aportes de las ciencias del lenguaje</w:t>
            </w:r>
          </w:p>
        </w:tc>
        <w:tc>
          <w:tcPr>
            <w:tcW w:w="1984" w:type="dxa"/>
          </w:tcPr>
          <w:p w:rsidR="005D5D2E" w:rsidRPr="005D5D2E" w:rsidRDefault="005D5D2E" w:rsidP="00D42DA7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D2E" w:rsidRPr="005D5D2E" w:rsidRDefault="005D5D2E" w:rsidP="00D42DA7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5D2E">
              <w:rPr>
                <w:rFonts w:ascii="Times New Roman" w:hAnsi="Times New Roman" w:cs="Times New Roman"/>
                <w:w w:val="125"/>
                <w:sz w:val="24"/>
                <w:szCs w:val="24"/>
              </w:rPr>
              <w:t>Precauciones conceptuales para evitar el aplicacionismo</w:t>
            </w:r>
          </w:p>
        </w:tc>
        <w:tc>
          <w:tcPr>
            <w:tcW w:w="3119" w:type="dxa"/>
          </w:tcPr>
          <w:p w:rsidR="005D5D2E" w:rsidRPr="005D5D2E" w:rsidRDefault="005D5D2E" w:rsidP="00D42DA7">
            <w:pPr>
              <w:pStyle w:val="TableParagraph"/>
              <w:spacing w:before="123" w:line="276" w:lineRule="auto"/>
              <w:ind w:left="108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D5D2E">
              <w:rPr>
                <w:rFonts w:ascii="Times New Roman" w:hAnsi="Times New Roman" w:cs="Times New Roman"/>
                <w:w w:val="125"/>
                <w:sz w:val="24"/>
                <w:szCs w:val="24"/>
              </w:rPr>
              <w:t>Parámetros y consideraciones para diseñar y probar situaciones didácticas</w:t>
            </w:r>
          </w:p>
        </w:tc>
        <w:tc>
          <w:tcPr>
            <w:tcW w:w="3969" w:type="dxa"/>
          </w:tcPr>
          <w:p w:rsidR="005D5D2E" w:rsidRPr="005D5D2E" w:rsidRDefault="005D5D2E" w:rsidP="00D42DA7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D2E" w:rsidRPr="005D5D2E" w:rsidRDefault="005D5D2E" w:rsidP="00D42DA7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D5D2E">
              <w:rPr>
                <w:rFonts w:ascii="Times New Roman" w:hAnsi="Times New Roman" w:cs="Times New Roman"/>
                <w:w w:val="125"/>
                <w:sz w:val="24"/>
                <w:szCs w:val="24"/>
              </w:rPr>
              <w:t>Modos de respetar los procesos intelectuales de los niños</w:t>
            </w:r>
          </w:p>
        </w:tc>
      </w:tr>
      <w:tr w:rsidR="005D5D2E" w:rsidRPr="00E5323C" w:rsidTr="005D5D2E">
        <w:trPr>
          <w:trHeight w:val="494"/>
        </w:trPr>
        <w:tc>
          <w:tcPr>
            <w:tcW w:w="2698" w:type="dxa"/>
          </w:tcPr>
          <w:p w:rsidR="005D5D2E" w:rsidRDefault="005D5D2E" w:rsidP="00D42DA7">
            <w:pPr>
              <w:pStyle w:val="TableParagraph"/>
              <w:spacing w:before="121"/>
              <w:ind w:left="107"/>
              <w:rPr>
                <w:w w:val="95"/>
                <w:sz w:val="18"/>
              </w:rPr>
            </w:pPr>
            <w:r w:rsidRPr="002E6C61">
              <w:rPr>
                <w:w w:val="95"/>
                <w:sz w:val="18"/>
              </w:rPr>
              <w:t>...</w:t>
            </w:r>
          </w:p>
          <w:p w:rsidR="005D5D2E" w:rsidRDefault="005D5D2E" w:rsidP="00D42DA7">
            <w:pPr>
              <w:pStyle w:val="TableParagraph"/>
              <w:spacing w:before="121"/>
              <w:ind w:left="107"/>
              <w:rPr>
                <w:w w:val="95"/>
                <w:sz w:val="18"/>
              </w:rPr>
            </w:pPr>
          </w:p>
          <w:p w:rsidR="005D5D2E" w:rsidRDefault="005D5D2E" w:rsidP="00D42DA7">
            <w:pPr>
              <w:pStyle w:val="TableParagraph"/>
              <w:spacing w:before="121"/>
              <w:ind w:left="107"/>
              <w:rPr>
                <w:w w:val="95"/>
                <w:sz w:val="18"/>
              </w:rPr>
            </w:pPr>
          </w:p>
          <w:p w:rsidR="005D5D2E" w:rsidRDefault="005D5D2E" w:rsidP="00D42DA7">
            <w:pPr>
              <w:pStyle w:val="TableParagraph"/>
              <w:spacing w:before="121"/>
              <w:ind w:left="107"/>
              <w:rPr>
                <w:w w:val="95"/>
                <w:sz w:val="18"/>
              </w:rPr>
            </w:pPr>
          </w:p>
          <w:p w:rsidR="005D5D2E" w:rsidRDefault="005D5D2E" w:rsidP="00D42DA7">
            <w:pPr>
              <w:pStyle w:val="TableParagraph"/>
              <w:spacing w:before="121"/>
              <w:ind w:left="107"/>
              <w:rPr>
                <w:w w:val="95"/>
                <w:sz w:val="18"/>
              </w:rPr>
            </w:pPr>
          </w:p>
          <w:p w:rsidR="005D5D2E" w:rsidRDefault="005D5D2E" w:rsidP="00D42DA7">
            <w:pPr>
              <w:pStyle w:val="TableParagraph"/>
              <w:spacing w:before="121"/>
              <w:ind w:left="107"/>
              <w:rPr>
                <w:w w:val="95"/>
                <w:sz w:val="18"/>
              </w:rPr>
            </w:pPr>
          </w:p>
          <w:p w:rsidR="005D5D2E" w:rsidRPr="002E6C61" w:rsidRDefault="005D5D2E" w:rsidP="00D42DA7">
            <w:pPr>
              <w:pStyle w:val="TableParagraph"/>
              <w:spacing w:before="121"/>
              <w:ind w:left="107"/>
              <w:rPr>
                <w:sz w:val="18"/>
              </w:rPr>
            </w:pPr>
          </w:p>
        </w:tc>
        <w:tc>
          <w:tcPr>
            <w:tcW w:w="1984" w:type="dxa"/>
          </w:tcPr>
          <w:p w:rsidR="005D5D2E" w:rsidRPr="002E6C61" w:rsidRDefault="005D5D2E" w:rsidP="00D42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5D5D2E" w:rsidRPr="00E5323C" w:rsidRDefault="005D5D2E" w:rsidP="00D42DA7">
            <w:pPr>
              <w:pStyle w:val="TableParagraph"/>
              <w:rPr>
                <w:rFonts w:ascii="Times New Roman"/>
                <w:sz w:val="18"/>
                <w:highlight w:val="cyan"/>
              </w:rPr>
            </w:pPr>
          </w:p>
        </w:tc>
        <w:tc>
          <w:tcPr>
            <w:tcW w:w="3969" w:type="dxa"/>
          </w:tcPr>
          <w:p w:rsidR="005D5D2E" w:rsidRPr="00E5323C" w:rsidRDefault="005D5D2E" w:rsidP="00D42DA7">
            <w:pPr>
              <w:pStyle w:val="TableParagraph"/>
              <w:rPr>
                <w:rFonts w:ascii="Times New Roman"/>
                <w:sz w:val="18"/>
                <w:highlight w:val="cyan"/>
              </w:rPr>
            </w:pPr>
          </w:p>
        </w:tc>
      </w:tr>
      <w:tr w:rsidR="005D5D2E" w:rsidRPr="00E5323C" w:rsidTr="005D5D2E">
        <w:trPr>
          <w:trHeight w:val="492"/>
        </w:trPr>
        <w:tc>
          <w:tcPr>
            <w:tcW w:w="2698" w:type="dxa"/>
          </w:tcPr>
          <w:p w:rsidR="005D5D2E" w:rsidRDefault="005D5D2E" w:rsidP="00D42DA7">
            <w:pPr>
              <w:pStyle w:val="TableParagraph"/>
              <w:spacing w:before="122"/>
              <w:ind w:left="107"/>
              <w:rPr>
                <w:w w:val="95"/>
                <w:sz w:val="18"/>
              </w:rPr>
            </w:pPr>
            <w:r w:rsidRPr="002E6C61">
              <w:rPr>
                <w:w w:val="95"/>
                <w:sz w:val="18"/>
              </w:rPr>
              <w:t>...</w:t>
            </w:r>
          </w:p>
          <w:p w:rsidR="005D5D2E" w:rsidRDefault="005D5D2E" w:rsidP="00D42DA7">
            <w:pPr>
              <w:pStyle w:val="TableParagraph"/>
              <w:spacing w:before="122"/>
              <w:ind w:left="107"/>
              <w:rPr>
                <w:w w:val="95"/>
                <w:sz w:val="18"/>
              </w:rPr>
            </w:pPr>
          </w:p>
          <w:p w:rsidR="005D5D2E" w:rsidRDefault="005D5D2E" w:rsidP="00D42DA7">
            <w:pPr>
              <w:pStyle w:val="TableParagraph"/>
              <w:spacing w:before="122"/>
              <w:ind w:left="107"/>
              <w:rPr>
                <w:w w:val="95"/>
                <w:sz w:val="18"/>
              </w:rPr>
            </w:pPr>
          </w:p>
          <w:p w:rsidR="005D5D2E" w:rsidRDefault="005D5D2E" w:rsidP="00D42DA7">
            <w:pPr>
              <w:pStyle w:val="TableParagraph"/>
              <w:spacing w:before="122"/>
              <w:ind w:left="107"/>
              <w:rPr>
                <w:w w:val="95"/>
                <w:sz w:val="18"/>
              </w:rPr>
            </w:pPr>
          </w:p>
          <w:p w:rsidR="005D5D2E" w:rsidRDefault="005D5D2E" w:rsidP="00D42DA7">
            <w:pPr>
              <w:pStyle w:val="TableParagraph"/>
              <w:spacing w:before="122"/>
              <w:ind w:left="107"/>
              <w:rPr>
                <w:w w:val="95"/>
                <w:sz w:val="18"/>
              </w:rPr>
            </w:pPr>
          </w:p>
          <w:p w:rsidR="005D5D2E" w:rsidRDefault="005D5D2E" w:rsidP="00D42DA7">
            <w:pPr>
              <w:pStyle w:val="TableParagraph"/>
              <w:spacing w:before="122"/>
              <w:ind w:left="107"/>
              <w:rPr>
                <w:w w:val="95"/>
                <w:sz w:val="18"/>
              </w:rPr>
            </w:pPr>
          </w:p>
          <w:p w:rsidR="005D5D2E" w:rsidRDefault="005D5D2E" w:rsidP="00D42DA7">
            <w:pPr>
              <w:pStyle w:val="TableParagraph"/>
              <w:spacing w:before="122"/>
              <w:ind w:left="107"/>
              <w:rPr>
                <w:w w:val="95"/>
                <w:sz w:val="18"/>
              </w:rPr>
            </w:pPr>
          </w:p>
          <w:p w:rsidR="005D5D2E" w:rsidRDefault="005D5D2E" w:rsidP="00D42DA7">
            <w:pPr>
              <w:pStyle w:val="TableParagraph"/>
              <w:spacing w:before="122"/>
              <w:ind w:left="107"/>
              <w:rPr>
                <w:w w:val="95"/>
                <w:sz w:val="18"/>
              </w:rPr>
            </w:pPr>
          </w:p>
          <w:p w:rsidR="005D5D2E" w:rsidRDefault="005D5D2E" w:rsidP="00D42DA7">
            <w:pPr>
              <w:pStyle w:val="TableParagraph"/>
              <w:spacing w:before="122"/>
              <w:ind w:left="107"/>
              <w:rPr>
                <w:w w:val="95"/>
                <w:sz w:val="18"/>
              </w:rPr>
            </w:pPr>
          </w:p>
          <w:p w:rsidR="005D5D2E" w:rsidRPr="002E6C61" w:rsidRDefault="005D5D2E" w:rsidP="00D42DA7">
            <w:pPr>
              <w:pStyle w:val="TableParagraph"/>
              <w:spacing w:before="122"/>
              <w:ind w:left="107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5D5D2E" w:rsidRPr="002E6C61" w:rsidRDefault="005D5D2E" w:rsidP="00D42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5D5D2E" w:rsidRPr="00E5323C" w:rsidRDefault="005D5D2E" w:rsidP="00D42DA7">
            <w:pPr>
              <w:pStyle w:val="TableParagraph"/>
              <w:rPr>
                <w:rFonts w:ascii="Times New Roman"/>
                <w:sz w:val="18"/>
                <w:highlight w:val="cyan"/>
              </w:rPr>
            </w:pPr>
          </w:p>
        </w:tc>
        <w:tc>
          <w:tcPr>
            <w:tcW w:w="3969" w:type="dxa"/>
          </w:tcPr>
          <w:p w:rsidR="005D5D2E" w:rsidRPr="00E5323C" w:rsidRDefault="005D5D2E" w:rsidP="00D42DA7">
            <w:pPr>
              <w:pStyle w:val="TableParagraph"/>
              <w:rPr>
                <w:rFonts w:ascii="Times New Roman"/>
                <w:sz w:val="18"/>
                <w:highlight w:val="cyan"/>
              </w:rPr>
            </w:pPr>
          </w:p>
        </w:tc>
      </w:tr>
    </w:tbl>
    <w:p w:rsidR="009D79EF" w:rsidRDefault="005D5D2E"/>
    <w:sectPr w:rsidR="009D79EF" w:rsidSect="005D5D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2E"/>
    <w:rsid w:val="005D5D2E"/>
    <w:rsid w:val="00721DD4"/>
    <w:rsid w:val="00E6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896E"/>
  <w15:chartTrackingRefBased/>
  <w15:docId w15:val="{37600A9B-C507-43C6-A530-DFE37E64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5D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D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D5D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ELENA MONSERRAT GAMEZ CEPEDA</cp:lastModifiedBy>
  <cp:revision>1</cp:revision>
  <dcterms:created xsi:type="dcterms:W3CDTF">2019-10-03T19:21:00Z</dcterms:created>
  <dcterms:modified xsi:type="dcterms:W3CDTF">2019-10-03T19:23:00Z</dcterms:modified>
</cp:coreProperties>
</file>