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4697" w:type="dxa"/>
        <w:tblInd w:w="-1218" w:type="dxa"/>
        <w:tblLook w:val="04A0" w:firstRow="1" w:lastRow="0" w:firstColumn="1" w:lastColumn="0" w:noHBand="0" w:noVBand="1"/>
      </w:tblPr>
      <w:tblGrid>
        <w:gridCol w:w="517"/>
        <w:gridCol w:w="1070"/>
        <w:gridCol w:w="1023"/>
        <w:gridCol w:w="1526"/>
        <w:gridCol w:w="1323"/>
        <w:gridCol w:w="1306"/>
        <w:gridCol w:w="3694"/>
        <w:gridCol w:w="2799"/>
        <w:gridCol w:w="1439"/>
      </w:tblGrid>
      <w:tr w:rsidR="00311C82" w:rsidRPr="00100D96" w:rsidTr="00311C82">
        <w:trPr>
          <w:trHeight w:val="616"/>
        </w:trPr>
        <w:tc>
          <w:tcPr>
            <w:tcW w:w="14697" w:type="dxa"/>
            <w:gridSpan w:val="9"/>
            <w:shd w:val="clear" w:color="auto" w:fill="FFFFFF" w:themeFill="background1"/>
          </w:tcPr>
          <w:p w:rsidR="00311C82" w:rsidRDefault="00311C82">
            <w:pPr>
              <w:rPr>
                <w:rFonts w:ascii="Century Gothic" w:hAnsi="Century Gothic" w:cs="Arial"/>
                <w:sz w:val="24"/>
              </w:rPr>
            </w:pPr>
            <w:r>
              <w:rPr>
                <w:rFonts w:ascii="Century Gothic" w:hAnsi="Century Gothic" w:cs="Arial"/>
                <w:sz w:val="24"/>
              </w:rPr>
              <w:t>Devani Monserrath González Palomo #13</w:t>
            </w:r>
          </w:p>
          <w:p w:rsidR="00311C82" w:rsidRPr="00100D96" w:rsidRDefault="00311C82">
            <w:pPr>
              <w:rPr>
                <w:rFonts w:ascii="Century Gothic" w:hAnsi="Century Gothic" w:cs="Arial"/>
                <w:sz w:val="24"/>
              </w:rPr>
            </w:pPr>
            <w:r>
              <w:rPr>
                <w:rFonts w:ascii="Century Gothic" w:hAnsi="Century Gothic" w:cs="Arial"/>
                <w:sz w:val="24"/>
              </w:rPr>
              <w:t>Seamy Citlali Rodríguez san miguel #22</w:t>
            </w:r>
          </w:p>
        </w:tc>
      </w:tr>
      <w:tr w:rsidR="00311C82" w:rsidRPr="00100D96" w:rsidTr="00311C82">
        <w:trPr>
          <w:trHeight w:val="616"/>
        </w:trPr>
        <w:tc>
          <w:tcPr>
            <w:tcW w:w="517" w:type="dxa"/>
            <w:vMerge w:val="restart"/>
            <w:shd w:val="clear" w:color="auto" w:fill="BDD6EE" w:themeFill="accent1" w:themeFillTint="66"/>
            <w:textDirection w:val="btLr"/>
          </w:tcPr>
          <w:p w:rsidR="00100D96" w:rsidRPr="00100D96" w:rsidRDefault="00100D96" w:rsidP="00F83788">
            <w:pPr>
              <w:ind w:left="113" w:right="113"/>
              <w:rPr>
                <w:rFonts w:ascii="Century Gothic" w:hAnsi="Century Gothic" w:cs="Arial"/>
                <w:sz w:val="24"/>
              </w:rPr>
            </w:pPr>
            <w:r w:rsidRPr="00100D96">
              <w:rPr>
                <w:rFonts w:ascii="Century Gothic" w:hAnsi="Century Gothic" w:cs="Arial"/>
                <w:sz w:val="24"/>
              </w:rPr>
              <w:t xml:space="preserve">Aprendizajes clave : </w:t>
            </w:r>
          </w:p>
        </w:tc>
        <w:tc>
          <w:tcPr>
            <w:tcW w:w="1070" w:type="dxa"/>
            <w:vMerge w:val="restart"/>
            <w:shd w:val="clear" w:color="auto" w:fill="FF8E93"/>
            <w:textDirection w:val="btLr"/>
          </w:tcPr>
          <w:p w:rsidR="00100D96" w:rsidRPr="00100D96" w:rsidRDefault="00100D96" w:rsidP="00913231">
            <w:pPr>
              <w:ind w:left="113" w:right="113"/>
              <w:rPr>
                <w:rFonts w:ascii="Century Gothic" w:hAnsi="Century Gothic" w:cs="Arial"/>
                <w:sz w:val="24"/>
              </w:rPr>
            </w:pPr>
            <w:r w:rsidRPr="00100D96">
              <w:rPr>
                <w:rFonts w:ascii="Century Gothic" w:hAnsi="Century Gothic" w:cs="Arial"/>
                <w:sz w:val="24"/>
              </w:rPr>
              <w:t xml:space="preserve">Ejes : </w:t>
            </w:r>
            <w:r w:rsidRPr="00100D96">
              <w:rPr>
                <w:rFonts w:ascii="Century Gothic" w:hAnsi="Century Gothic" w:cs="Arial"/>
                <w:sz w:val="24"/>
              </w:rPr>
              <w:t>forma, espacio y medida</w:t>
            </w:r>
          </w:p>
        </w:tc>
        <w:tc>
          <w:tcPr>
            <w:tcW w:w="1023" w:type="dxa"/>
            <w:vMerge w:val="restart"/>
            <w:shd w:val="clear" w:color="auto" w:fill="D3F987"/>
          </w:tcPr>
          <w:p w:rsidR="00100D96" w:rsidRPr="00100D96" w:rsidRDefault="00100D96" w:rsidP="00F83788">
            <w:pPr>
              <w:rPr>
                <w:rFonts w:ascii="Century Gothic" w:hAnsi="Century Gothic" w:cs="Arial"/>
                <w:sz w:val="24"/>
              </w:rPr>
            </w:pPr>
            <w:r w:rsidRPr="00100D96">
              <w:rPr>
                <w:rFonts w:ascii="Century Gothic" w:hAnsi="Century Gothic" w:cs="Arial"/>
                <w:sz w:val="24"/>
              </w:rPr>
              <w:t xml:space="preserve">Temas: </w:t>
            </w:r>
          </w:p>
        </w:tc>
        <w:tc>
          <w:tcPr>
            <w:tcW w:w="4155" w:type="dxa"/>
            <w:gridSpan w:val="3"/>
            <w:shd w:val="clear" w:color="auto" w:fill="F4B083" w:themeFill="accent2" w:themeFillTint="99"/>
          </w:tcPr>
          <w:p w:rsidR="00100D96" w:rsidRPr="00100D96" w:rsidRDefault="00100D96">
            <w:pPr>
              <w:rPr>
                <w:rFonts w:ascii="Century Gothic" w:hAnsi="Century Gothic" w:cs="Arial"/>
                <w:sz w:val="24"/>
              </w:rPr>
            </w:pPr>
          </w:p>
          <w:p w:rsidR="00100D96" w:rsidRPr="00100D96" w:rsidRDefault="00100D96">
            <w:pPr>
              <w:rPr>
                <w:rFonts w:ascii="Century Gothic" w:hAnsi="Century Gothic" w:cs="Arial"/>
                <w:sz w:val="24"/>
              </w:rPr>
            </w:pPr>
            <w:r w:rsidRPr="00100D96">
              <w:rPr>
                <w:rFonts w:ascii="Century Gothic" w:hAnsi="Century Gothic" w:cs="Arial"/>
                <w:sz w:val="24"/>
              </w:rPr>
              <w:t>Aprendizajes clave:</w:t>
            </w:r>
          </w:p>
        </w:tc>
        <w:tc>
          <w:tcPr>
            <w:tcW w:w="3694" w:type="dxa"/>
            <w:vMerge w:val="restart"/>
            <w:shd w:val="clear" w:color="auto" w:fill="D9E2F3"/>
          </w:tcPr>
          <w:p w:rsidR="00100D96" w:rsidRPr="00100D96" w:rsidRDefault="00100D96">
            <w:pPr>
              <w:rPr>
                <w:rFonts w:ascii="Century Gothic" w:hAnsi="Century Gothic" w:cs="Arial"/>
                <w:sz w:val="24"/>
              </w:rPr>
            </w:pPr>
            <w:r w:rsidRPr="00100D96">
              <w:rPr>
                <w:rFonts w:ascii="Century Gothic" w:hAnsi="Century Gothic" w:cs="Arial"/>
                <w:sz w:val="24"/>
              </w:rPr>
              <w:t>Nivel de p</w:t>
            </w:r>
            <w:bookmarkStart w:id="0" w:name="_GoBack"/>
            <w:bookmarkEnd w:id="0"/>
            <w:r w:rsidRPr="00100D96">
              <w:rPr>
                <w:rFonts w:ascii="Century Gothic" w:hAnsi="Century Gothic" w:cs="Arial"/>
                <w:sz w:val="24"/>
              </w:rPr>
              <w:t xml:space="preserve">rofundidad </w:t>
            </w:r>
          </w:p>
        </w:tc>
        <w:tc>
          <w:tcPr>
            <w:tcW w:w="2799" w:type="dxa"/>
            <w:vMerge w:val="restart"/>
            <w:shd w:val="clear" w:color="auto" w:fill="C3BBEC"/>
          </w:tcPr>
          <w:p w:rsidR="00100D96" w:rsidRPr="00100D96" w:rsidRDefault="00100D96">
            <w:pPr>
              <w:rPr>
                <w:rFonts w:ascii="Century Gothic" w:hAnsi="Century Gothic" w:cs="Arial"/>
                <w:sz w:val="24"/>
              </w:rPr>
            </w:pPr>
            <w:r w:rsidRPr="00100D96">
              <w:rPr>
                <w:rFonts w:ascii="Century Gothic" w:hAnsi="Century Gothic" w:cs="Arial"/>
                <w:sz w:val="24"/>
              </w:rPr>
              <w:t xml:space="preserve">Que deben saber </w:t>
            </w:r>
          </w:p>
        </w:tc>
        <w:tc>
          <w:tcPr>
            <w:tcW w:w="1439" w:type="dxa"/>
            <w:vMerge w:val="restart"/>
            <w:shd w:val="clear" w:color="auto" w:fill="C3BBEC"/>
          </w:tcPr>
          <w:p w:rsidR="00100D96" w:rsidRPr="00100D96" w:rsidRDefault="00100D96">
            <w:pPr>
              <w:rPr>
                <w:rFonts w:ascii="Century Gothic" w:hAnsi="Century Gothic" w:cs="Arial"/>
                <w:sz w:val="24"/>
              </w:rPr>
            </w:pPr>
            <w:r w:rsidRPr="00100D96">
              <w:rPr>
                <w:rFonts w:ascii="Century Gothic" w:hAnsi="Century Gothic" w:cs="Arial"/>
                <w:sz w:val="24"/>
              </w:rPr>
              <w:t xml:space="preserve">Que deben saber hacer </w:t>
            </w:r>
          </w:p>
        </w:tc>
      </w:tr>
      <w:tr w:rsidR="00311C82" w:rsidRPr="00100D96" w:rsidTr="00311C82">
        <w:trPr>
          <w:trHeight w:val="272"/>
        </w:trPr>
        <w:tc>
          <w:tcPr>
            <w:tcW w:w="517" w:type="dxa"/>
            <w:vMerge/>
            <w:shd w:val="clear" w:color="auto" w:fill="BDD6EE" w:themeFill="accent1" w:themeFillTint="66"/>
          </w:tcPr>
          <w:p w:rsidR="00100D96" w:rsidRPr="00100D96" w:rsidRDefault="00100D96">
            <w:pPr>
              <w:rPr>
                <w:rFonts w:ascii="Century Gothic" w:hAnsi="Century Gothic" w:cs="Arial"/>
                <w:sz w:val="24"/>
              </w:rPr>
            </w:pPr>
          </w:p>
        </w:tc>
        <w:tc>
          <w:tcPr>
            <w:tcW w:w="1070" w:type="dxa"/>
            <w:vMerge/>
            <w:shd w:val="clear" w:color="auto" w:fill="FF8E93"/>
          </w:tcPr>
          <w:p w:rsidR="00100D96" w:rsidRPr="00100D96" w:rsidRDefault="00100D96">
            <w:pPr>
              <w:rPr>
                <w:rFonts w:ascii="Century Gothic" w:hAnsi="Century Gothic" w:cs="Arial"/>
                <w:sz w:val="24"/>
              </w:rPr>
            </w:pPr>
          </w:p>
        </w:tc>
        <w:tc>
          <w:tcPr>
            <w:tcW w:w="1023" w:type="dxa"/>
            <w:vMerge/>
            <w:shd w:val="clear" w:color="auto" w:fill="D3F987"/>
          </w:tcPr>
          <w:p w:rsidR="00100D96" w:rsidRPr="00100D96" w:rsidRDefault="00100D96" w:rsidP="00F83788">
            <w:pPr>
              <w:rPr>
                <w:rFonts w:ascii="Century Gothic" w:hAnsi="Century Gothic" w:cs="Arial"/>
                <w:sz w:val="24"/>
              </w:rPr>
            </w:pPr>
          </w:p>
        </w:tc>
        <w:tc>
          <w:tcPr>
            <w:tcW w:w="1526" w:type="dxa"/>
            <w:shd w:val="clear" w:color="auto" w:fill="FFE599" w:themeFill="accent4" w:themeFillTint="66"/>
          </w:tcPr>
          <w:p w:rsidR="00100D96" w:rsidRPr="00100D96" w:rsidRDefault="00100D96">
            <w:pPr>
              <w:rPr>
                <w:rFonts w:ascii="Century Gothic" w:hAnsi="Century Gothic" w:cs="Arial"/>
                <w:sz w:val="24"/>
              </w:rPr>
            </w:pPr>
            <w:r w:rsidRPr="00100D96">
              <w:rPr>
                <w:rFonts w:ascii="Century Gothic" w:hAnsi="Century Gothic" w:cs="Arial"/>
                <w:sz w:val="24"/>
              </w:rPr>
              <w:t>1°</w:t>
            </w:r>
          </w:p>
        </w:tc>
        <w:tc>
          <w:tcPr>
            <w:tcW w:w="1323" w:type="dxa"/>
            <w:shd w:val="clear" w:color="auto" w:fill="FFE599" w:themeFill="accent4" w:themeFillTint="66"/>
          </w:tcPr>
          <w:p w:rsidR="00100D96" w:rsidRPr="00100D96" w:rsidRDefault="00100D96">
            <w:pPr>
              <w:rPr>
                <w:rFonts w:ascii="Century Gothic" w:hAnsi="Century Gothic" w:cs="Arial"/>
                <w:sz w:val="24"/>
              </w:rPr>
            </w:pPr>
            <w:r w:rsidRPr="00100D96">
              <w:rPr>
                <w:rFonts w:ascii="Century Gothic" w:hAnsi="Century Gothic" w:cs="Arial"/>
                <w:sz w:val="24"/>
              </w:rPr>
              <w:t>2°</w:t>
            </w:r>
          </w:p>
        </w:tc>
        <w:tc>
          <w:tcPr>
            <w:tcW w:w="1306" w:type="dxa"/>
            <w:shd w:val="clear" w:color="auto" w:fill="FFE599" w:themeFill="accent4" w:themeFillTint="66"/>
          </w:tcPr>
          <w:p w:rsidR="00100D96" w:rsidRPr="00100D96" w:rsidRDefault="00100D96">
            <w:pPr>
              <w:rPr>
                <w:rFonts w:ascii="Century Gothic" w:hAnsi="Century Gothic" w:cs="Arial"/>
                <w:sz w:val="24"/>
              </w:rPr>
            </w:pPr>
            <w:r w:rsidRPr="00100D96">
              <w:rPr>
                <w:rFonts w:ascii="Century Gothic" w:hAnsi="Century Gothic" w:cs="Arial"/>
                <w:sz w:val="24"/>
              </w:rPr>
              <w:t>3°</w:t>
            </w:r>
          </w:p>
        </w:tc>
        <w:tc>
          <w:tcPr>
            <w:tcW w:w="3694" w:type="dxa"/>
            <w:vMerge/>
            <w:shd w:val="clear" w:color="auto" w:fill="D9E2F3"/>
          </w:tcPr>
          <w:p w:rsidR="00100D96" w:rsidRPr="00100D96" w:rsidRDefault="00100D96">
            <w:pPr>
              <w:rPr>
                <w:rFonts w:ascii="Century Gothic" w:hAnsi="Century Gothic" w:cs="Arial"/>
                <w:sz w:val="24"/>
              </w:rPr>
            </w:pPr>
          </w:p>
        </w:tc>
        <w:tc>
          <w:tcPr>
            <w:tcW w:w="2799" w:type="dxa"/>
            <w:vMerge/>
            <w:shd w:val="clear" w:color="auto" w:fill="C3BBEC"/>
          </w:tcPr>
          <w:p w:rsidR="00100D96" w:rsidRPr="00100D96" w:rsidRDefault="00100D96">
            <w:pPr>
              <w:rPr>
                <w:rFonts w:ascii="Century Gothic" w:hAnsi="Century Gothic" w:cs="Arial"/>
                <w:sz w:val="24"/>
              </w:rPr>
            </w:pPr>
          </w:p>
        </w:tc>
        <w:tc>
          <w:tcPr>
            <w:tcW w:w="1439" w:type="dxa"/>
            <w:vMerge/>
            <w:shd w:val="clear" w:color="auto" w:fill="C3BBEC"/>
          </w:tcPr>
          <w:p w:rsidR="00100D96" w:rsidRPr="00100D96" w:rsidRDefault="00100D96">
            <w:pPr>
              <w:rPr>
                <w:rFonts w:ascii="Century Gothic" w:hAnsi="Century Gothic" w:cs="Arial"/>
                <w:sz w:val="24"/>
              </w:rPr>
            </w:pPr>
          </w:p>
        </w:tc>
      </w:tr>
      <w:tr w:rsidR="00311C82" w:rsidRPr="00100D96" w:rsidTr="00311C82">
        <w:trPr>
          <w:cantSplit/>
          <w:trHeight w:val="1134"/>
        </w:trPr>
        <w:tc>
          <w:tcPr>
            <w:tcW w:w="517" w:type="dxa"/>
            <w:vMerge/>
            <w:shd w:val="clear" w:color="auto" w:fill="BDD6EE" w:themeFill="accent1" w:themeFillTint="66"/>
          </w:tcPr>
          <w:p w:rsidR="00B81C6D" w:rsidRPr="00100D96" w:rsidRDefault="00B81C6D">
            <w:pPr>
              <w:rPr>
                <w:rFonts w:ascii="Century Gothic" w:hAnsi="Century Gothic" w:cs="Arial"/>
                <w:sz w:val="24"/>
              </w:rPr>
            </w:pPr>
          </w:p>
        </w:tc>
        <w:tc>
          <w:tcPr>
            <w:tcW w:w="1070" w:type="dxa"/>
            <w:vMerge/>
            <w:shd w:val="clear" w:color="auto" w:fill="FF8E93"/>
          </w:tcPr>
          <w:p w:rsidR="00B81C6D" w:rsidRPr="00100D96" w:rsidRDefault="00B81C6D">
            <w:pPr>
              <w:rPr>
                <w:rFonts w:ascii="Century Gothic" w:hAnsi="Century Gothic" w:cs="Arial"/>
                <w:sz w:val="24"/>
              </w:rPr>
            </w:pPr>
          </w:p>
        </w:tc>
        <w:tc>
          <w:tcPr>
            <w:tcW w:w="1023" w:type="dxa"/>
            <w:shd w:val="clear" w:color="auto" w:fill="auto"/>
            <w:textDirection w:val="btLr"/>
          </w:tcPr>
          <w:p w:rsidR="00B81C6D" w:rsidRPr="00100D96" w:rsidRDefault="00B81C6D" w:rsidP="00100D96">
            <w:pPr>
              <w:ind w:left="113" w:right="113"/>
              <w:rPr>
                <w:rFonts w:ascii="Century Gothic" w:hAnsi="Century Gothic" w:cs="Arial"/>
                <w:sz w:val="24"/>
              </w:rPr>
            </w:pPr>
            <w:r w:rsidRPr="00100D96">
              <w:rPr>
                <w:rFonts w:ascii="Century Gothic" w:hAnsi="Century Gothic" w:cs="Arial"/>
                <w:sz w:val="24"/>
              </w:rPr>
              <w:t>ubicación espacial</w:t>
            </w:r>
          </w:p>
        </w:tc>
        <w:tc>
          <w:tcPr>
            <w:tcW w:w="4155" w:type="dxa"/>
            <w:gridSpan w:val="3"/>
          </w:tcPr>
          <w:p w:rsidR="00B81C6D" w:rsidRPr="00100D96" w:rsidRDefault="00B81C6D" w:rsidP="00100D96">
            <w:pPr>
              <w:pStyle w:val="Prrafodelista"/>
              <w:numPr>
                <w:ilvl w:val="0"/>
                <w:numId w:val="2"/>
              </w:numPr>
              <w:rPr>
                <w:rFonts w:ascii="Century Gothic" w:hAnsi="Century Gothic" w:cs="Arial"/>
                <w:sz w:val="24"/>
              </w:rPr>
            </w:pPr>
            <w:r w:rsidRPr="00100D96">
              <w:rPr>
                <w:rFonts w:ascii="Century Gothic" w:hAnsi="Century Gothic" w:cs="Arial"/>
                <w:sz w:val="24"/>
              </w:rPr>
              <w:t xml:space="preserve">Ubica objetos y lugares cuya ubicación desconoce, mediante </w:t>
            </w:r>
          </w:p>
        </w:tc>
        <w:tc>
          <w:tcPr>
            <w:tcW w:w="3694" w:type="dxa"/>
          </w:tcPr>
          <w:p w:rsidR="00B81C6D" w:rsidRPr="00100D96" w:rsidRDefault="00100D96">
            <w:pPr>
              <w:rPr>
                <w:rFonts w:ascii="Century Gothic" w:hAnsi="Century Gothic" w:cs="Arial"/>
                <w:sz w:val="24"/>
              </w:rPr>
            </w:pPr>
            <w:r w:rsidRPr="00100D96">
              <w:rPr>
                <w:rFonts w:ascii="Century Gothic" w:hAnsi="Century Gothic" w:cs="Arial"/>
                <w:sz w:val="24"/>
              </w:rPr>
              <w:t xml:space="preserve">Que los niños </w:t>
            </w:r>
            <w:r w:rsidRPr="00100D96">
              <w:rPr>
                <w:rFonts w:ascii="Century Gothic" w:hAnsi="Century Gothic" w:cs="Arial"/>
                <w:sz w:val="24"/>
              </w:rPr>
              <w:t>construyan</w:t>
            </w:r>
            <w:r w:rsidRPr="00100D96">
              <w:rPr>
                <w:rFonts w:ascii="Century Gothic" w:hAnsi="Century Gothic" w:cs="Arial"/>
                <w:sz w:val="24"/>
              </w:rPr>
              <w:t xml:space="preserve"> sistemas de referencia respecto a la ubicación espacial que les permita comprender que el espacio puede describirse por medio de ciertas relaciones que se establecen entre objetos. Es importante que los niños tengan oportunidad de establecer relaciones espaciales a partir de su cuerpo y otros objetos o personas  </w:t>
            </w:r>
          </w:p>
        </w:tc>
        <w:tc>
          <w:tcPr>
            <w:tcW w:w="2799" w:type="dxa"/>
          </w:tcPr>
          <w:p w:rsidR="00B81C6D" w:rsidRDefault="00100D96" w:rsidP="00100D96">
            <w:pPr>
              <w:pStyle w:val="Prrafodelista"/>
              <w:numPr>
                <w:ilvl w:val="0"/>
                <w:numId w:val="4"/>
              </w:numPr>
              <w:rPr>
                <w:rFonts w:ascii="Century Gothic" w:hAnsi="Century Gothic" w:cs="Arial"/>
                <w:sz w:val="24"/>
              </w:rPr>
            </w:pPr>
            <w:r w:rsidRPr="00100D96">
              <w:rPr>
                <w:rFonts w:ascii="Century Gothic" w:hAnsi="Century Gothic" w:cs="Arial"/>
                <w:sz w:val="24"/>
              </w:rPr>
              <w:t xml:space="preserve">Comunicar de </w:t>
            </w:r>
            <w:r w:rsidR="00311C82" w:rsidRPr="00100D96">
              <w:rPr>
                <w:rFonts w:ascii="Century Gothic" w:hAnsi="Century Gothic" w:cs="Arial"/>
                <w:sz w:val="24"/>
              </w:rPr>
              <w:t>forma</w:t>
            </w:r>
            <w:r w:rsidRPr="00100D96">
              <w:rPr>
                <w:rFonts w:ascii="Century Gothic" w:hAnsi="Century Gothic" w:cs="Arial"/>
                <w:sz w:val="24"/>
              </w:rPr>
              <w:t xml:space="preserve"> oral la posición de un objeto usando puntos de referencia y relaciones espaciales para que todos los encuentren.</w:t>
            </w:r>
          </w:p>
          <w:p w:rsidR="00100D96" w:rsidRDefault="00100D96" w:rsidP="00100D96">
            <w:pPr>
              <w:pStyle w:val="Prrafodelista"/>
              <w:numPr>
                <w:ilvl w:val="0"/>
                <w:numId w:val="4"/>
              </w:numPr>
              <w:rPr>
                <w:rFonts w:ascii="Century Gothic" w:hAnsi="Century Gothic" w:cs="Arial"/>
                <w:sz w:val="24"/>
              </w:rPr>
            </w:pPr>
            <w:r>
              <w:rPr>
                <w:rFonts w:ascii="Century Gothic" w:hAnsi="Century Gothic" w:cs="Arial"/>
                <w:sz w:val="24"/>
              </w:rPr>
              <w:t xml:space="preserve">Identificar características y propiedades de figuras geométricas. Y establecer semejanzas y diferencias entre figuras y cuerpos </w:t>
            </w:r>
            <w:r w:rsidR="00311C82">
              <w:rPr>
                <w:rFonts w:ascii="Century Gothic" w:hAnsi="Century Gothic" w:cs="Arial"/>
                <w:sz w:val="24"/>
              </w:rPr>
              <w:t>geométricos</w:t>
            </w:r>
            <w:r>
              <w:rPr>
                <w:rFonts w:ascii="Century Gothic" w:hAnsi="Century Gothic" w:cs="Arial"/>
                <w:sz w:val="24"/>
              </w:rPr>
              <w:t xml:space="preserve"> al trabajar con </w:t>
            </w:r>
            <w:r w:rsidR="00311C82">
              <w:rPr>
                <w:rFonts w:ascii="Century Gothic" w:hAnsi="Century Gothic" w:cs="Arial"/>
                <w:sz w:val="24"/>
              </w:rPr>
              <w:t>ellos.</w:t>
            </w:r>
          </w:p>
          <w:p w:rsidR="00311C82" w:rsidRDefault="00311C82" w:rsidP="00100D96">
            <w:pPr>
              <w:pStyle w:val="Prrafodelista"/>
              <w:numPr>
                <w:ilvl w:val="0"/>
                <w:numId w:val="4"/>
              </w:numPr>
              <w:rPr>
                <w:rFonts w:ascii="Century Gothic" w:hAnsi="Century Gothic" w:cs="Arial"/>
                <w:sz w:val="24"/>
              </w:rPr>
            </w:pPr>
            <w:r>
              <w:rPr>
                <w:rFonts w:ascii="Century Gothic" w:hAnsi="Century Gothic" w:cs="Arial"/>
                <w:sz w:val="24"/>
              </w:rPr>
              <w:lastRenderedPageBreak/>
              <w:t>Reconocer algunas figuras geométricas (cuadrado, rectángulo, rombo, romboide, triangulo, pentágono, hexágono) en objetos,</w:t>
            </w:r>
          </w:p>
          <w:p w:rsidR="00311C82" w:rsidRDefault="00311C82" w:rsidP="00100D96">
            <w:pPr>
              <w:pStyle w:val="Prrafodelista"/>
              <w:numPr>
                <w:ilvl w:val="0"/>
                <w:numId w:val="4"/>
              </w:numPr>
              <w:rPr>
                <w:rFonts w:ascii="Century Gothic" w:hAnsi="Century Gothic" w:cs="Arial"/>
                <w:sz w:val="24"/>
              </w:rPr>
            </w:pPr>
            <w:r>
              <w:rPr>
                <w:rFonts w:ascii="Century Gothic" w:hAnsi="Century Gothic" w:cs="Arial"/>
                <w:sz w:val="24"/>
              </w:rPr>
              <w:t xml:space="preserve"> Comparar de manera directa la longitud y la capacidad de dos objetos y recipientes.</w:t>
            </w:r>
          </w:p>
          <w:p w:rsidR="00311C82" w:rsidRDefault="00311C82" w:rsidP="00100D96">
            <w:pPr>
              <w:pStyle w:val="Prrafodelista"/>
              <w:numPr>
                <w:ilvl w:val="0"/>
                <w:numId w:val="4"/>
              </w:numPr>
              <w:rPr>
                <w:rFonts w:ascii="Century Gothic" w:hAnsi="Century Gothic" w:cs="Arial"/>
                <w:sz w:val="24"/>
              </w:rPr>
            </w:pPr>
            <w:r>
              <w:rPr>
                <w:rFonts w:ascii="Century Gothic" w:hAnsi="Century Gothic" w:cs="Arial"/>
                <w:sz w:val="24"/>
              </w:rPr>
              <w:t xml:space="preserve">Anticipar y verificar longitudes y capacidades con el uso de unidades de </w:t>
            </w:r>
            <w:r>
              <w:rPr>
                <w:rFonts w:ascii="Century Gothic" w:hAnsi="Century Gothic" w:cs="Arial"/>
                <w:sz w:val="24"/>
              </w:rPr>
              <w:lastRenderedPageBreak/>
              <w:t xml:space="preserve">medida no convencionales </w:t>
            </w:r>
          </w:p>
          <w:p w:rsidR="00311C82" w:rsidRDefault="00311C82" w:rsidP="00100D96">
            <w:pPr>
              <w:pStyle w:val="Prrafodelista"/>
              <w:numPr>
                <w:ilvl w:val="0"/>
                <w:numId w:val="4"/>
              </w:numPr>
              <w:rPr>
                <w:rFonts w:ascii="Century Gothic" w:hAnsi="Century Gothic" w:cs="Arial"/>
                <w:sz w:val="24"/>
              </w:rPr>
            </w:pPr>
            <w:r>
              <w:rPr>
                <w:rFonts w:ascii="Century Gothic" w:hAnsi="Century Gothic" w:cs="Arial"/>
                <w:sz w:val="24"/>
              </w:rPr>
              <w:t xml:space="preserve">Reconocer la longitud y la capacidad mayor, igual o menos entre dos objetos o puntos, y entre recipientes </w:t>
            </w:r>
          </w:p>
          <w:p w:rsidR="00311C82" w:rsidRPr="00100D96" w:rsidRDefault="00311C82" w:rsidP="00100D96">
            <w:pPr>
              <w:pStyle w:val="Prrafodelista"/>
              <w:numPr>
                <w:ilvl w:val="0"/>
                <w:numId w:val="4"/>
              </w:numPr>
              <w:rPr>
                <w:rFonts w:ascii="Century Gothic" w:hAnsi="Century Gothic" w:cs="Arial"/>
                <w:sz w:val="24"/>
              </w:rPr>
            </w:pPr>
            <w:r>
              <w:rPr>
                <w:rFonts w:ascii="Century Gothic" w:hAnsi="Century Gothic" w:cs="Arial"/>
                <w:sz w:val="24"/>
              </w:rPr>
              <w:t>Encontrar objetos o recipientes que compartan la misma longitud( en alguna de sus dimensiones) o capacidad.</w:t>
            </w:r>
          </w:p>
        </w:tc>
        <w:tc>
          <w:tcPr>
            <w:tcW w:w="1439" w:type="dxa"/>
          </w:tcPr>
          <w:p w:rsidR="00B81C6D" w:rsidRPr="00100D96" w:rsidRDefault="00B81C6D">
            <w:pPr>
              <w:rPr>
                <w:rFonts w:ascii="Century Gothic" w:hAnsi="Century Gothic" w:cs="Arial"/>
                <w:sz w:val="24"/>
              </w:rPr>
            </w:pPr>
          </w:p>
        </w:tc>
      </w:tr>
      <w:tr w:rsidR="00311C82" w:rsidRPr="00100D96" w:rsidTr="00311C82">
        <w:trPr>
          <w:cantSplit/>
          <w:trHeight w:val="1568"/>
        </w:trPr>
        <w:tc>
          <w:tcPr>
            <w:tcW w:w="517" w:type="dxa"/>
            <w:vMerge/>
            <w:shd w:val="clear" w:color="auto" w:fill="BDD6EE" w:themeFill="accent1" w:themeFillTint="66"/>
          </w:tcPr>
          <w:p w:rsidR="00B81C6D" w:rsidRPr="00100D96" w:rsidRDefault="00B81C6D">
            <w:pPr>
              <w:rPr>
                <w:rFonts w:ascii="Century Gothic" w:hAnsi="Century Gothic" w:cs="Arial"/>
                <w:sz w:val="24"/>
              </w:rPr>
            </w:pPr>
          </w:p>
        </w:tc>
        <w:tc>
          <w:tcPr>
            <w:tcW w:w="1070" w:type="dxa"/>
            <w:vMerge/>
            <w:shd w:val="clear" w:color="auto" w:fill="FF8E93"/>
          </w:tcPr>
          <w:p w:rsidR="00B81C6D" w:rsidRPr="00100D96" w:rsidRDefault="00B81C6D">
            <w:pPr>
              <w:rPr>
                <w:rFonts w:ascii="Century Gothic" w:hAnsi="Century Gothic" w:cs="Arial"/>
                <w:sz w:val="24"/>
              </w:rPr>
            </w:pPr>
          </w:p>
        </w:tc>
        <w:tc>
          <w:tcPr>
            <w:tcW w:w="1023" w:type="dxa"/>
            <w:shd w:val="clear" w:color="auto" w:fill="auto"/>
            <w:textDirection w:val="btLr"/>
          </w:tcPr>
          <w:p w:rsidR="00B81C6D" w:rsidRPr="00100D96" w:rsidRDefault="00B81C6D" w:rsidP="00100D96">
            <w:pPr>
              <w:ind w:left="113" w:right="113"/>
              <w:rPr>
                <w:rFonts w:ascii="Century Gothic" w:hAnsi="Century Gothic" w:cs="Arial"/>
                <w:sz w:val="24"/>
              </w:rPr>
            </w:pPr>
            <w:r w:rsidRPr="00100D96">
              <w:rPr>
                <w:rFonts w:ascii="Century Gothic" w:hAnsi="Century Gothic" w:cs="Arial"/>
                <w:sz w:val="24"/>
              </w:rPr>
              <w:t>Figuras y cuerpos geométricos.</w:t>
            </w:r>
          </w:p>
        </w:tc>
        <w:tc>
          <w:tcPr>
            <w:tcW w:w="4155" w:type="dxa"/>
            <w:gridSpan w:val="3"/>
          </w:tcPr>
          <w:p w:rsidR="00B81C6D" w:rsidRPr="00100D96" w:rsidRDefault="00B81C6D" w:rsidP="00B81C6D">
            <w:pPr>
              <w:pStyle w:val="Prrafodelista"/>
              <w:numPr>
                <w:ilvl w:val="0"/>
                <w:numId w:val="1"/>
              </w:numPr>
              <w:rPr>
                <w:rFonts w:ascii="Century Gothic" w:hAnsi="Century Gothic" w:cs="Arial"/>
                <w:sz w:val="24"/>
              </w:rPr>
            </w:pPr>
            <w:r w:rsidRPr="00100D96">
              <w:rPr>
                <w:rFonts w:ascii="Century Gothic" w:hAnsi="Century Gothic" w:cs="Arial"/>
                <w:sz w:val="24"/>
              </w:rPr>
              <w:t xml:space="preserve">Reproduce modelos como formas, figuras y cuerpos geométricos </w:t>
            </w:r>
          </w:p>
          <w:p w:rsidR="00B81C6D" w:rsidRPr="00100D96" w:rsidRDefault="00B81C6D" w:rsidP="00B81C6D">
            <w:pPr>
              <w:pStyle w:val="Prrafodelista"/>
              <w:numPr>
                <w:ilvl w:val="0"/>
                <w:numId w:val="1"/>
              </w:numPr>
              <w:rPr>
                <w:rFonts w:ascii="Century Gothic" w:hAnsi="Century Gothic" w:cs="Arial"/>
                <w:sz w:val="24"/>
              </w:rPr>
            </w:pPr>
            <w:r w:rsidRPr="00100D96">
              <w:rPr>
                <w:rFonts w:ascii="Century Gothic" w:hAnsi="Century Gothic" w:cs="Arial"/>
                <w:sz w:val="24"/>
              </w:rPr>
              <w:t xml:space="preserve">Construye configuraciones con formas, figuras y cuerpos </w:t>
            </w:r>
            <w:r w:rsidR="00100D96" w:rsidRPr="00100D96">
              <w:rPr>
                <w:rFonts w:ascii="Century Gothic" w:hAnsi="Century Gothic" w:cs="Arial"/>
                <w:sz w:val="24"/>
              </w:rPr>
              <w:t>geométricos</w:t>
            </w:r>
          </w:p>
        </w:tc>
        <w:tc>
          <w:tcPr>
            <w:tcW w:w="3694" w:type="dxa"/>
          </w:tcPr>
          <w:p w:rsidR="00B81C6D" w:rsidRPr="00100D96" w:rsidRDefault="00100D96">
            <w:pPr>
              <w:rPr>
                <w:rFonts w:ascii="Century Gothic" w:hAnsi="Century Gothic" w:cs="Arial"/>
                <w:sz w:val="24"/>
              </w:rPr>
            </w:pPr>
            <w:r w:rsidRPr="00100D96">
              <w:rPr>
                <w:rFonts w:ascii="Century Gothic" w:hAnsi="Century Gothic" w:cs="Arial"/>
                <w:sz w:val="24"/>
              </w:rPr>
              <w:t xml:space="preserve">Se espera que los niños desarrollen su percepción geométrica al interactuar con algunas características que tienen diversos objetos, y que establezcan semejanzas y diferencias entre figuras geométricas al trabajar con configuraciones. Usar los nombres convencionales de las figuras y en esa medida los niños van aprendiendo, </w:t>
            </w:r>
          </w:p>
        </w:tc>
        <w:tc>
          <w:tcPr>
            <w:tcW w:w="2799" w:type="dxa"/>
          </w:tcPr>
          <w:p w:rsidR="00B81C6D" w:rsidRPr="00100D96" w:rsidRDefault="00B81C6D">
            <w:pPr>
              <w:rPr>
                <w:rFonts w:ascii="Century Gothic" w:hAnsi="Century Gothic" w:cs="Arial"/>
                <w:sz w:val="24"/>
              </w:rPr>
            </w:pPr>
          </w:p>
        </w:tc>
        <w:tc>
          <w:tcPr>
            <w:tcW w:w="1439" w:type="dxa"/>
          </w:tcPr>
          <w:p w:rsidR="00B81C6D" w:rsidRPr="00100D96" w:rsidRDefault="00B81C6D">
            <w:pPr>
              <w:rPr>
                <w:rFonts w:ascii="Century Gothic" w:hAnsi="Century Gothic" w:cs="Arial"/>
                <w:sz w:val="24"/>
              </w:rPr>
            </w:pPr>
          </w:p>
        </w:tc>
      </w:tr>
    </w:tbl>
    <w:p w:rsidR="00F17A4F" w:rsidRPr="00100D96" w:rsidRDefault="00F17A4F">
      <w:pPr>
        <w:rPr>
          <w:rFonts w:ascii="Century Gothic" w:hAnsi="Century Gothic"/>
        </w:rPr>
      </w:pPr>
    </w:p>
    <w:sectPr w:rsidR="00F17A4F" w:rsidRPr="00100D96" w:rsidSect="00100D96">
      <w:pgSz w:w="15120" w:h="10440" w:orient="landscape" w:code="7"/>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85631"/>
    <w:multiLevelType w:val="hybridMultilevel"/>
    <w:tmpl w:val="A78C2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6318D7"/>
    <w:multiLevelType w:val="hybridMultilevel"/>
    <w:tmpl w:val="2BBAF3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230CBE"/>
    <w:multiLevelType w:val="hybridMultilevel"/>
    <w:tmpl w:val="FCBA03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A9F271E"/>
    <w:multiLevelType w:val="hybridMultilevel"/>
    <w:tmpl w:val="DD103BC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activeWritingStyle w:appName="MSWord" w:lang="es-MX" w:vendorID="64" w:dllVersion="131078" w:nlCheck="1" w:checkStyle="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231"/>
    <w:rsid w:val="00100D96"/>
    <w:rsid w:val="00311C82"/>
    <w:rsid w:val="00913231"/>
    <w:rsid w:val="00B81C6D"/>
    <w:rsid w:val="00F17A4F"/>
    <w:rsid w:val="00F837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CC336"/>
  <w15:chartTrackingRefBased/>
  <w15:docId w15:val="{29331905-83E3-49A7-B7DD-0A4C56D4B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13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81C6D"/>
    <w:pPr>
      <w:ind w:left="720"/>
      <w:contextualSpacing/>
    </w:pPr>
  </w:style>
  <w:style w:type="character" w:styleId="Refdecomentario">
    <w:name w:val="annotation reference"/>
    <w:basedOn w:val="Fuentedeprrafopredeter"/>
    <w:uiPriority w:val="99"/>
    <w:semiHidden/>
    <w:unhideWhenUsed/>
    <w:rsid w:val="00311C82"/>
    <w:rPr>
      <w:sz w:val="16"/>
      <w:szCs w:val="16"/>
    </w:rPr>
  </w:style>
  <w:style w:type="paragraph" w:styleId="Textocomentario">
    <w:name w:val="annotation text"/>
    <w:basedOn w:val="Normal"/>
    <w:link w:val="TextocomentarioCar"/>
    <w:uiPriority w:val="99"/>
    <w:semiHidden/>
    <w:unhideWhenUsed/>
    <w:rsid w:val="00311C8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11C82"/>
    <w:rPr>
      <w:sz w:val="20"/>
      <w:szCs w:val="20"/>
    </w:rPr>
  </w:style>
  <w:style w:type="paragraph" w:styleId="Asuntodelcomentario">
    <w:name w:val="annotation subject"/>
    <w:basedOn w:val="Textocomentario"/>
    <w:next w:val="Textocomentario"/>
    <w:link w:val="AsuntodelcomentarioCar"/>
    <w:uiPriority w:val="99"/>
    <w:semiHidden/>
    <w:unhideWhenUsed/>
    <w:rsid w:val="00311C82"/>
    <w:rPr>
      <w:b/>
      <w:bCs/>
    </w:rPr>
  </w:style>
  <w:style w:type="character" w:customStyle="1" w:styleId="AsuntodelcomentarioCar">
    <w:name w:val="Asunto del comentario Car"/>
    <w:basedOn w:val="TextocomentarioCar"/>
    <w:link w:val="Asuntodelcomentario"/>
    <w:uiPriority w:val="99"/>
    <w:semiHidden/>
    <w:rsid w:val="00311C82"/>
    <w:rPr>
      <w:b/>
      <w:bCs/>
      <w:sz w:val="20"/>
      <w:szCs w:val="20"/>
    </w:rPr>
  </w:style>
  <w:style w:type="paragraph" w:styleId="Textodeglobo">
    <w:name w:val="Balloon Text"/>
    <w:basedOn w:val="Normal"/>
    <w:link w:val="TextodegloboCar"/>
    <w:uiPriority w:val="99"/>
    <w:semiHidden/>
    <w:unhideWhenUsed/>
    <w:rsid w:val="00311C8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1C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303</Words>
  <Characters>1668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2022-02-22T14:04:00Z</dcterms:created>
  <dcterms:modified xsi:type="dcterms:W3CDTF">2022-02-22T14:55:00Z</dcterms:modified>
</cp:coreProperties>
</file>