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80115" w14:textId="77777777" w:rsidR="00D54B22" w:rsidRPr="00A33CB2" w:rsidRDefault="00D54B22" w:rsidP="00D54B22">
      <w:pPr>
        <w:ind w:left="142"/>
        <w:jc w:val="center"/>
        <w:rPr>
          <w:rFonts w:ascii="Arial" w:eastAsia="Arial Unicode MS" w:hAnsi="Arial" w:cs="Arial"/>
          <w:b/>
          <w:i/>
          <w:lang w:val="es-MX"/>
        </w:rPr>
      </w:pPr>
      <w:r w:rsidRPr="00A33CB2">
        <w:rPr>
          <w:rFonts w:ascii="Arial" w:eastAsia="Arial Unicode MS" w:hAnsi="Arial" w:cs="Arial"/>
          <w:b/>
          <w:i/>
          <w:lang w:val="es-MX"/>
        </w:rPr>
        <w:t>ESCUELA NORMAL DE EDUCACIÓN PREESCOLAR</w:t>
      </w:r>
    </w:p>
    <w:p w14:paraId="426A651A" w14:textId="16FFA5CB" w:rsidR="00837BD3" w:rsidRDefault="00333A21" w:rsidP="00D54B22">
      <w:pPr>
        <w:ind w:left="142"/>
        <w:jc w:val="center"/>
        <w:rPr>
          <w:rFonts w:ascii="Arial" w:eastAsia="Arial Unicode MS" w:hAnsi="Arial" w:cs="Arial"/>
          <w:b/>
          <w:i/>
          <w:lang w:val="es-MX"/>
        </w:rPr>
      </w:pPr>
      <w:r>
        <w:rPr>
          <w:noProof/>
        </w:rPr>
        <w:drawing>
          <wp:inline distT="0" distB="0" distL="0" distR="0" wp14:anchorId="25009733" wp14:editId="44E16AD6">
            <wp:extent cx="2533879" cy="2190750"/>
            <wp:effectExtent l="0" t="0" r="0" b="0"/>
            <wp:docPr id="2" name="Imagen 2" descr="Museo Presidentes в Twitter: &amp;quot;10 septiembre 1973.- En las instalaciones del  antiguo Asilo Maas en #Saltillo, es inaugurada la Escuela Normal de  Educación Preescolar, por el Ingeniero Eulalio Gutiérrez Treviño,  Gobernador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o Presidentes в Twitter: &amp;quot;10 septiembre 1973.- En las instalaciones del  antiguo Asilo Maas en #Saltillo, es inaugurada la Escuela Normal de  Educación Preescolar, por el Ingeniero Eulalio Gutiérrez Treviño,  Gobernador d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2372" cy="2198093"/>
                    </a:xfrm>
                    <a:prstGeom prst="rect">
                      <a:avLst/>
                    </a:prstGeom>
                    <a:noFill/>
                    <a:ln>
                      <a:noFill/>
                    </a:ln>
                  </pic:spPr>
                </pic:pic>
              </a:graphicData>
            </a:graphic>
          </wp:inline>
        </w:drawing>
      </w:r>
    </w:p>
    <w:p w14:paraId="7D1F5568" w14:textId="4A5F3B15" w:rsidR="00837BD3" w:rsidRPr="00A33CB2" w:rsidRDefault="00837BD3" w:rsidP="00D54B22">
      <w:pPr>
        <w:ind w:left="142"/>
        <w:jc w:val="center"/>
        <w:rPr>
          <w:rFonts w:ascii="Arial" w:eastAsia="Arial Unicode MS" w:hAnsi="Arial" w:cs="Arial"/>
          <w:b/>
          <w:i/>
          <w:lang w:val="es-MX"/>
        </w:rPr>
      </w:pPr>
      <w:r>
        <w:rPr>
          <w:rFonts w:ascii="Arial" w:eastAsia="Arial Unicode MS" w:hAnsi="Arial" w:cs="Arial"/>
          <w:b/>
          <w:i/>
          <w:lang w:val="es-MX"/>
        </w:rPr>
        <w:t>Forma, espacio y medida.</w:t>
      </w:r>
    </w:p>
    <w:p w14:paraId="0A37501D" w14:textId="7CB346C2" w:rsidR="00D54B22" w:rsidRDefault="00D54B22" w:rsidP="00D54B22">
      <w:pPr>
        <w:ind w:left="142"/>
        <w:jc w:val="center"/>
        <w:rPr>
          <w:rFonts w:ascii="Arial" w:eastAsia="Arial Unicode MS" w:hAnsi="Arial" w:cs="Arial"/>
          <w:b/>
          <w:i/>
          <w:lang w:val="es-MX"/>
        </w:rPr>
      </w:pPr>
    </w:p>
    <w:p w14:paraId="04AE766B" w14:textId="68AA17D4" w:rsidR="00837BD3" w:rsidRDefault="00837BD3" w:rsidP="00D54B22">
      <w:pPr>
        <w:ind w:left="142"/>
        <w:jc w:val="center"/>
        <w:rPr>
          <w:rFonts w:ascii="Arial" w:eastAsia="Arial Unicode MS" w:hAnsi="Arial" w:cs="Arial"/>
          <w:b/>
          <w:i/>
          <w:lang w:val="es-MX"/>
        </w:rPr>
      </w:pPr>
      <w:r>
        <w:rPr>
          <w:rFonts w:ascii="Arial" w:eastAsia="Arial Unicode MS" w:hAnsi="Arial" w:cs="Arial"/>
          <w:b/>
          <w:i/>
          <w:lang w:val="es-MX"/>
        </w:rPr>
        <w:t>Herrera Ibarra Claudia Fernanda.</w:t>
      </w:r>
    </w:p>
    <w:p w14:paraId="6378D936" w14:textId="77777777" w:rsidR="00837BD3" w:rsidRDefault="00837BD3" w:rsidP="00D54B22">
      <w:pPr>
        <w:ind w:left="142"/>
        <w:jc w:val="center"/>
        <w:rPr>
          <w:rFonts w:ascii="Arial" w:eastAsia="Arial Unicode MS" w:hAnsi="Arial" w:cs="Arial"/>
          <w:b/>
          <w:i/>
          <w:lang w:val="es-MX"/>
        </w:rPr>
      </w:pPr>
    </w:p>
    <w:p w14:paraId="606109E3" w14:textId="72FCB356" w:rsidR="00837BD3" w:rsidRDefault="00837BD3" w:rsidP="00D54B22">
      <w:pPr>
        <w:ind w:left="142"/>
        <w:jc w:val="center"/>
        <w:rPr>
          <w:rFonts w:ascii="Arial" w:eastAsia="Arial Unicode MS" w:hAnsi="Arial" w:cs="Arial"/>
          <w:b/>
          <w:i/>
          <w:lang w:val="es-MX"/>
        </w:rPr>
      </w:pPr>
      <w:r>
        <w:rPr>
          <w:rFonts w:ascii="Arial" w:eastAsia="Arial Unicode MS" w:hAnsi="Arial" w:cs="Arial"/>
          <w:b/>
          <w:i/>
          <w:lang w:val="es-MX"/>
        </w:rPr>
        <w:t>#9.</w:t>
      </w:r>
    </w:p>
    <w:p w14:paraId="41FBC68C" w14:textId="77777777" w:rsidR="00837BD3" w:rsidRPr="00A33CB2" w:rsidRDefault="00837BD3" w:rsidP="00D54B22">
      <w:pPr>
        <w:ind w:left="142"/>
        <w:jc w:val="center"/>
        <w:rPr>
          <w:rFonts w:ascii="Arial" w:eastAsia="Arial Unicode MS" w:hAnsi="Arial" w:cs="Arial"/>
          <w:b/>
          <w:i/>
          <w:lang w:val="es-MX"/>
        </w:rPr>
      </w:pPr>
    </w:p>
    <w:p w14:paraId="3E7FC0FF" w14:textId="2C26915B" w:rsidR="00D54B22" w:rsidRPr="00A33CB2" w:rsidRDefault="00D54B22" w:rsidP="00D54B22">
      <w:pPr>
        <w:ind w:left="142"/>
        <w:jc w:val="center"/>
        <w:rPr>
          <w:rFonts w:ascii="Arial" w:eastAsia="Arial Unicode MS" w:hAnsi="Arial" w:cs="Arial"/>
          <w:b/>
          <w:i/>
          <w:lang w:val="es-MX"/>
        </w:rPr>
      </w:pPr>
      <w:r w:rsidRPr="00A33CB2">
        <w:rPr>
          <w:rFonts w:ascii="Arial" w:eastAsia="Arial Unicode MS" w:hAnsi="Arial" w:cs="Arial"/>
          <w:b/>
          <w:i/>
          <w:lang w:val="es-MX"/>
        </w:rPr>
        <w:t>Unidad</w:t>
      </w:r>
      <w:r w:rsidR="00837BD3">
        <w:rPr>
          <w:rFonts w:ascii="Arial" w:eastAsia="Arial Unicode MS" w:hAnsi="Arial" w:cs="Arial"/>
          <w:b/>
          <w:i/>
          <w:lang w:val="es-MX"/>
        </w:rPr>
        <w:t xml:space="preserve"> I</w:t>
      </w:r>
    </w:p>
    <w:p w14:paraId="5DAB6C7B" w14:textId="77777777" w:rsidR="00D54B22" w:rsidRPr="00A33CB2" w:rsidRDefault="00D54B22" w:rsidP="00D54B22">
      <w:pPr>
        <w:ind w:left="142"/>
        <w:jc w:val="center"/>
        <w:rPr>
          <w:rFonts w:ascii="Arial" w:eastAsia="Arial Unicode MS" w:hAnsi="Arial" w:cs="Arial"/>
          <w:b/>
          <w:i/>
          <w:lang w:val="es-MX"/>
        </w:rPr>
      </w:pPr>
    </w:p>
    <w:p w14:paraId="3070385F" w14:textId="7B2F8DB7" w:rsidR="00D54B22" w:rsidRDefault="00D54B22" w:rsidP="00D54B22">
      <w:pPr>
        <w:autoSpaceDE w:val="0"/>
        <w:autoSpaceDN w:val="0"/>
        <w:adjustRightInd w:val="0"/>
        <w:jc w:val="center"/>
        <w:rPr>
          <w:rFonts w:ascii="Arial" w:eastAsia="Arial Unicode MS" w:hAnsi="Arial" w:cs="Arial"/>
          <w:b/>
          <w:bCs/>
        </w:rPr>
      </w:pPr>
      <w:r w:rsidRPr="00A33CB2">
        <w:rPr>
          <w:rFonts w:ascii="Arial" w:eastAsia="Arial Unicode MS" w:hAnsi="Arial" w:cs="Arial"/>
          <w:b/>
          <w:i/>
          <w:lang w:val="es-MX"/>
        </w:rPr>
        <w:t>Tema:</w:t>
      </w:r>
      <w:r w:rsidR="00837BD3">
        <w:rPr>
          <w:rFonts w:ascii="Arial" w:eastAsia="Arial Unicode MS" w:hAnsi="Arial" w:cs="Arial"/>
          <w:b/>
          <w:i/>
          <w:lang w:val="es-MX"/>
        </w:rPr>
        <w:t xml:space="preserve"> Matriz analítica con nivel de profundidad.</w:t>
      </w:r>
      <w:r w:rsidRPr="00A33CB2">
        <w:rPr>
          <w:rFonts w:ascii="Arial" w:eastAsia="Arial Unicode MS" w:hAnsi="Arial" w:cs="Arial"/>
          <w:b/>
          <w:i/>
          <w:lang w:val="es-MX"/>
        </w:rPr>
        <w:t xml:space="preserve"> </w:t>
      </w:r>
    </w:p>
    <w:p w14:paraId="29D6B04F" w14:textId="77777777" w:rsidR="00D54B22" w:rsidRPr="00A33CB2" w:rsidRDefault="00D54B22" w:rsidP="00D54B22">
      <w:pPr>
        <w:autoSpaceDE w:val="0"/>
        <w:autoSpaceDN w:val="0"/>
        <w:adjustRightInd w:val="0"/>
        <w:jc w:val="center"/>
        <w:rPr>
          <w:rFonts w:ascii="Arial" w:eastAsia="Arial Unicode MS" w:hAnsi="Arial" w:cs="Arial"/>
          <w:b/>
          <w:i/>
          <w:lang w:val="es-MX"/>
        </w:rPr>
      </w:pPr>
      <w:r w:rsidRPr="00A33CB2">
        <w:rPr>
          <w:rFonts w:ascii="Arial" w:eastAsia="Arial Unicode MS" w:hAnsi="Arial" w:cs="Arial"/>
          <w:color w:val="000000"/>
          <w:lang w:val="es-MX" w:eastAsia="es-MX"/>
        </w:rPr>
        <w:t xml:space="preserve"> </w:t>
      </w:r>
    </w:p>
    <w:p w14:paraId="02EB378F" w14:textId="77777777" w:rsidR="00D54B22" w:rsidRPr="00A33CB2" w:rsidRDefault="00D54B22" w:rsidP="00D54B22">
      <w:pPr>
        <w:ind w:left="142"/>
        <w:jc w:val="center"/>
        <w:rPr>
          <w:rFonts w:ascii="Arial" w:eastAsia="Arial Unicode MS" w:hAnsi="Arial" w:cs="Arial"/>
          <w:b/>
          <w:i/>
          <w:lang w:val="es-MX"/>
        </w:rPr>
      </w:pPr>
    </w:p>
    <w:p w14:paraId="36A7970B" w14:textId="77777777" w:rsidR="00D54B22" w:rsidRDefault="00D54B22" w:rsidP="00D54B22">
      <w:pPr>
        <w:autoSpaceDE w:val="0"/>
        <w:autoSpaceDN w:val="0"/>
        <w:adjustRightInd w:val="0"/>
        <w:rPr>
          <w:rFonts w:ascii="Arial" w:eastAsia="Arial Unicode MS" w:hAnsi="Arial" w:cs="Arial"/>
          <w:lang w:val="es-MX"/>
        </w:rPr>
      </w:pPr>
      <w:r w:rsidRPr="00A33CB2">
        <w:rPr>
          <w:rFonts w:ascii="Arial" w:eastAsia="Arial Unicode MS" w:hAnsi="Arial" w:cs="Arial"/>
          <w:b/>
          <w:i/>
          <w:lang w:val="es-MX"/>
        </w:rPr>
        <w:t xml:space="preserve">Aprendizaje esperado: </w:t>
      </w:r>
      <w:r>
        <w:rPr>
          <w:rFonts w:ascii="Arial" w:eastAsia="Arial Unicode MS" w:hAnsi="Arial" w:cs="Arial"/>
          <w:lang w:val="es-MX"/>
        </w:rPr>
        <w:t>Justifique y realice el análisis del currículo de Aprendizajes clave</w:t>
      </w:r>
      <w:r w:rsidR="009E4EE5">
        <w:rPr>
          <w:rFonts w:ascii="Arial" w:eastAsia="Arial Unicode MS" w:hAnsi="Arial" w:cs="Arial"/>
          <w:lang w:val="es-MX"/>
        </w:rPr>
        <w:t xml:space="preserve"> en el eje de ubicación espacial y figuras y cuerpos geométricos</w:t>
      </w:r>
    </w:p>
    <w:p w14:paraId="6A05A809" w14:textId="77777777" w:rsidR="00D54B22" w:rsidRPr="00A33CB2" w:rsidRDefault="00D54B22" w:rsidP="00D54B22">
      <w:pPr>
        <w:ind w:left="142"/>
        <w:jc w:val="center"/>
        <w:rPr>
          <w:rFonts w:ascii="Arial" w:eastAsia="Arial Unicode MS" w:hAnsi="Arial" w:cs="Arial"/>
          <w:i/>
          <w:lang w:val="es-MX"/>
        </w:rPr>
      </w:pPr>
    </w:p>
    <w:p w14:paraId="3905BC1F" w14:textId="77777777" w:rsidR="001C7B0D" w:rsidRDefault="009E4EE5" w:rsidP="001C7B0D">
      <w:pPr>
        <w:pStyle w:val="paragraph"/>
        <w:spacing w:before="0" w:beforeAutospacing="0" w:after="0" w:afterAutospacing="0"/>
        <w:textAlignment w:val="baseline"/>
        <w:rPr>
          <w:rStyle w:val="eop"/>
          <w:rFonts w:ascii="Arial" w:eastAsia="Arial Unicode MS" w:hAnsi="Arial" w:cs="Arial"/>
          <w:color w:val="000000"/>
        </w:rPr>
      </w:pPr>
      <w:r>
        <w:rPr>
          <w:rFonts w:ascii="Arial" w:eastAsia="Arial Unicode MS" w:hAnsi="Arial" w:cs="Arial"/>
          <w:b/>
          <w:i/>
        </w:rPr>
        <w:t>C</w:t>
      </w:r>
      <w:r w:rsidR="00D54B22" w:rsidRPr="00A33CB2">
        <w:rPr>
          <w:rFonts w:ascii="Arial" w:eastAsia="Arial Unicode MS" w:hAnsi="Arial" w:cs="Arial"/>
          <w:b/>
          <w:i/>
        </w:rPr>
        <w:t>ompetencias esperadas del perfil de egreso:</w:t>
      </w:r>
      <w:r w:rsidR="00D54B22">
        <w:rPr>
          <w:rFonts w:ascii="Arial" w:eastAsia="Arial Unicode MS" w:hAnsi="Arial" w:cs="Arial"/>
          <w:color w:val="000000"/>
        </w:rPr>
        <w:t xml:space="preserve"> </w:t>
      </w:r>
      <w:r>
        <w:rPr>
          <w:rStyle w:val="normaltextrun"/>
          <w:rFonts w:ascii="Calibri" w:hAnsi="Calibri" w:cs="Calibri"/>
          <w:sz w:val="22"/>
          <w:szCs w:val="22"/>
        </w:rPr>
        <w:t>Detecta los procesos de aprendizaje de sus alumnos para favorecer su desarrollo cognitivo y socioemocional.</w:t>
      </w:r>
      <w:r>
        <w:rPr>
          <w:rStyle w:val="eop"/>
          <w:rFonts w:ascii="Calibri" w:hAnsi="Calibri" w:cs="Calibri"/>
          <w:sz w:val="22"/>
          <w:szCs w:val="22"/>
        </w:rPr>
        <w:t> </w:t>
      </w:r>
    </w:p>
    <w:p w14:paraId="7F4BEDBB" w14:textId="4DAB205F" w:rsidR="009E4EE5" w:rsidRPr="001C7B0D" w:rsidRDefault="009E4EE5" w:rsidP="001C7B0D">
      <w:pPr>
        <w:pStyle w:val="paragraph"/>
        <w:spacing w:before="0" w:beforeAutospacing="0" w:after="0" w:afterAutospacing="0"/>
        <w:textAlignment w:val="baseline"/>
        <w:rPr>
          <w:rFonts w:ascii="Arial" w:eastAsia="Arial Unicode MS" w:hAnsi="Arial" w:cs="Arial"/>
          <w:color w:val="000000"/>
        </w:rPr>
      </w:pPr>
      <w:r>
        <w:rPr>
          <w:rStyle w:val="normaltextrun"/>
          <w:rFonts w:ascii="Calibri" w:hAnsi="Calibri" w:cs="Calibri"/>
          <w:sz w:val="21"/>
          <w:szCs w:val="21"/>
        </w:rPr>
        <w:lastRenderedPageBreak/>
        <w:t>1.2 Establece relaciones entre los principios, conceptos disciplinarios y contenidos del plan y programas de estudio en función del logro de aprendizaje de sus alumnos, asegurando la coherencia y continuidad entre los distintos grados y niveles educativos.</w:t>
      </w:r>
      <w:r>
        <w:rPr>
          <w:rStyle w:val="eop"/>
          <w:rFonts w:ascii="Calibri" w:hAnsi="Calibri" w:cs="Calibri"/>
          <w:sz w:val="21"/>
          <w:szCs w:val="21"/>
        </w:rPr>
        <w:t> </w:t>
      </w:r>
    </w:p>
    <w:p w14:paraId="72A3D3EC" w14:textId="77777777" w:rsidR="00D54B22" w:rsidRPr="00A33CB2" w:rsidRDefault="00D54B22" w:rsidP="00D54B22">
      <w:pPr>
        <w:autoSpaceDE w:val="0"/>
        <w:autoSpaceDN w:val="0"/>
        <w:adjustRightInd w:val="0"/>
        <w:rPr>
          <w:rFonts w:ascii="Arial" w:eastAsia="Arial Unicode MS" w:hAnsi="Arial" w:cs="Arial"/>
          <w:color w:val="000000"/>
          <w:lang w:val="es-MX" w:eastAsia="es-MX"/>
        </w:rPr>
      </w:pPr>
    </w:p>
    <w:p w14:paraId="7B75E88B" w14:textId="77777777" w:rsidR="00333A21" w:rsidRDefault="00333A21" w:rsidP="00D54B22">
      <w:pPr>
        <w:widowControl w:val="0"/>
        <w:autoSpaceDE w:val="0"/>
        <w:autoSpaceDN w:val="0"/>
        <w:adjustRightInd w:val="0"/>
        <w:spacing w:after="240"/>
        <w:jc w:val="center"/>
        <w:rPr>
          <w:rFonts w:ascii="Arial" w:hAnsi="Arial" w:cs="Arial"/>
          <w:b/>
          <w:i/>
          <w:lang w:val="es-MX"/>
        </w:rPr>
      </w:pPr>
    </w:p>
    <w:p w14:paraId="18C9F63B" w14:textId="77777777" w:rsidR="00333A21" w:rsidRDefault="00333A21" w:rsidP="001C7B0D">
      <w:pPr>
        <w:widowControl w:val="0"/>
        <w:autoSpaceDE w:val="0"/>
        <w:autoSpaceDN w:val="0"/>
        <w:adjustRightInd w:val="0"/>
        <w:spacing w:after="240"/>
        <w:rPr>
          <w:rFonts w:ascii="Arial" w:hAnsi="Arial" w:cs="Arial"/>
          <w:b/>
          <w:i/>
          <w:lang w:val="es-MX"/>
        </w:rPr>
      </w:pPr>
    </w:p>
    <w:p w14:paraId="62486C05" w14:textId="40CE7762" w:rsidR="00D54B22" w:rsidRPr="00333A21" w:rsidRDefault="00D54B22" w:rsidP="00333A21">
      <w:pPr>
        <w:widowControl w:val="0"/>
        <w:autoSpaceDE w:val="0"/>
        <w:autoSpaceDN w:val="0"/>
        <w:adjustRightInd w:val="0"/>
        <w:spacing w:after="240"/>
        <w:jc w:val="center"/>
        <w:rPr>
          <w:rFonts w:ascii="Arial" w:hAnsi="Arial" w:cs="Arial"/>
          <w:b/>
          <w:i/>
          <w:lang w:val="es-MX"/>
        </w:rPr>
      </w:pPr>
      <w:r>
        <w:rPr>
          <w:rFonts w:ascii="Arial" w:hAnsi="Arial" w:cs="Arial"/>
          <w:b/>
          <w:i/>
          <w:lang w:val="es-MX"/>
        </w:rPr>
        <w:t>MATRIZ ANALÍTICA DEL CURRICULO DE APRENDIZAJES CLAVE</w:t>
      </w:r>
      <w:r w:rsidR="00333A21">
        <w:rPr>
          <w:rFonts w:ascii="Arial" w:hAnsi="Arial" w:cs="Arial"/>
          <w:b/>
          <w:i/>
          <w:lang w:val="es-MX"/>
        </w:rPr>
        <w:t>.</w:t>
      </w:r>
    </w:p>
    <w:p w14:paraId="4101652C" w14:textId="77777777" w:rsidR="00D54B22" w:rsidRDefault="00D54B22">
      <w:pPr>
        <w:rPr>
          <w:lang w:val="es-MX"/>
        </w:rPr>
      </w:pPr>
    </w:p>
    <w:p w14:paraId="58C00701" w14:textId="77777777" w:rsidR="00924492" w:rsidRDefault="00D54B22">
      <w:pPr>
        <w:rPr>
          <w:lang w:val="es-MX"/>
        </w:rPr>
      </w:pPr>
      <w:r>
        <w:rPr>
          <w:lang w:val="es-MX"/>
        </w:rPr>
        <w:t>Realiza una Matriz analítica del currículo de aprendizajes clave que contenga los ejes, temas aprendizajes y una idea o ejemplo de cómo se trabaja o desarrolla dicho aprendizaje</w:t>
      </w:r>
    </w:p>
    <w:p w14:paraId="4B99056E" w14:textId="77777777" w:rsidR="00D54B22" w:rsidRDefault="00D54B22">
      <w:pPr>
        <w:rPr>
          <w:lang w:val="es-MX"/>
        </w:rPr>
      </w:pPr>
    </w:p>
    <w:tbl>
      <w:tblPr>
        <w:tblStyle w:val="Tablaconcuadrcula"/>
        <w:tblW w:w="13994" w:type="dxa"/>
        <w:tblLook w:val="04A0" w:firstRow="1" w:lastRow="0" w:firstColumn="1" w:lastColumn="0" w:noHBand="0" w:noVBand="1"/>
      </w:tblPr>
      <w:tblGrid>
        <w:gridCol w:w="1115"/>
        <w:gridCol w:w="1410"/>
        <w:gridCol w:w="3013"/>
        <w:gridCol w:w="3461"/>
        <w:gridCol w:w="2501"/>
        <w:gridCol w:w="2494"/>
      </w:tblGrid>
      <w:tr w:rsidR="0016777A" w14:paraId="73612FDC" w14:textId="77777777" w:rsidTr="00333A21">
        <w:trPr>
          <w:trHeight w:val="1052"/>
        </w:trPr>
        <w:tc>
          <w:tcPr>
            <w:tcW w:w="1115" w:type="dxa"/>
            <w:shd w:val="clear" w:color="auto" w:fill="FFFF66"/>
          </w:tcPr>
          <w:p w14:paraId="240E6B7A" w14:textId="77777777" w:rsidR="0016777A" w:rsidRDefault="0016777A" w:rsidP="0016777A">
            <w:pPr>
              <w:rPr>
                <w:lang w:val="es-MX"/>
              </w:rPr>
            </w:pPr>
            <w:r>
              <w:rPr>
                <w:lang w:val="es-MX"/>
              </w:rPr>
              <w:t>EJE</w:t>
            </w:r>
          </w:p>
        </w:tc>
        <w:tc>
          <w:tcPr>
            <w:tcW w:w="1410" w:type="dxa"/>
            <w:shd w:val="clear" w:color="auto" w:fill="FFFF66"/>
          </w:tcPr>
          <w:p w14:paraId="14412D1B" w14:textId="77777777" w:rsidR="0016777A" w:rsidRDefault="0016777A" w:rsidP="0016777A">
            <w:pPr>
              <w:rPr>
                <w:lang w:val="es-MX"/>
              </w:rPr>
            </w:pPr>
            <w:r>
              <w:rPr>
                <w:lang w:val="es-MX"/>
              </w:rPr>
              <w:t>TEMA</w:t>
            </w:r>
          </w:p>
        </w:tc>
        <w:tc>
          <w:tcPr>
            <w:tcW w:w="3013" w:type="dxa"/>
            <w:shd w:val="clear" w:color="auto" w:fill="FFFF66"/>
          </w:tcPr>
          <w:p w14:paraId="4B409E63" w14:textId="77777777" w:rsidR="0016777A" w:rsidRDefault="0016777A" w:rsidP="0016777A">
            <w:pPr>
              <w:rPr>
                <w:lang w:val="es-MX"/>
              </w:rPr>
            </w:pPr>
            <w:r>
              <w:rPr>
                <w:lang w:val="es-MX"/>
              </w:rPr>
              <w:t>NIVEL DE PROFUNDIDAD</w:t>
            </w:r>
          </w:p>
        </w:tc>
        <w:tc>
          <w:tcPr>
            <w:tcW w:w="3461" w:type="dxa"/>
            <w:shd w:val="clear" w:color="auto" w:fill="FFFF66"/>
          </w:tcPr>
          <w:p w14:paraId="32C5FAE3" w14:textId="77777777" w:rsidR="0016777A" w:rsidRDefault="0016777A" w:rsidP="0016777A">
            <w:pPr>
              <w:rPr>
                <w:lang w:val="es-MX"/>
              </w:rPr>
            </w:pPr>
            <w:r>
              <w:rPr>
                <w:lang w:val="es-MX"/>
              </w:rPr>
              <w:t>APRENDIZAJE</w:t>
            </w:r>
          </w:p>
        </w:tc>
        <w:tc>
          <w:tcPr>
            <w:tcW w:w="2501" w:type="dxa"/>
            <w:shd w:val="clear" w:color="auto" w:fill="FFFF66"/>
          </w:tcPr>
          <w:p w14:paraId="2FBB433A" w14:textId="77777777" w:rsidR="0016777A" w:rsidRDefault="0016777A" w:rsidP="0016777A">
            <w:pPr>
              <w:rPr>
                <w:lang w:val="es-MX"/>
              </w:rPr>
            </w:pPr>
            <w:r>
              <w:rPr>
                <w:lang w:val="es-MX"/>
              </w:rPr>
              <w:t>¿QUÉ DEBEN SABER?</w:t>
            </w:r>
          </w:p>
        </w:tc>
        <w:tc>
          <w:tcPr>
            <w:tcW w:w="2494" w:type="dxa"/>
            <w:shd w:val="clear" w:color="auto" w:fill="FFFF66"/>
          </w:tcPr>
          <w:p w14:paraId="4C79BFC5" w14:textId="77777777" w:rsidR="0016777A" w:rsidRDefault="0016777A" w:rsidP="0016777A">
            <w:pPr>
              <w:rPr>
                <w:lang w:val="es-MX"/>
              </w:rPr>
            </w:pPr>
            <w:r>
              <w:rPr>
                <w:lang w:val="es-MX"/>
              </w:rPr>
              <w:t>¿QUÉ DEBEN HACER</w:t>
            </w:r>
          </w:p>
        </w:tc>
      </w:tr>
      <w:tr w:rsidR="0016777A" w14:paraId="1299C43A" w14:textId="77777777" w:rsidTr="00333A21">
        <w:trPr>
          <w:trHeight w:val="363"/>
        </w:trPr>
        <w:tc>
          <w:tcPr>
            <w:tcW w:w="1115" w:type="dxa"/>
            <w:vMerge w:val="restart"/>
            <w:shd w:val="clear" w:color="auto" w:fill="FFFF66"/>
          </w:tcPr>
          <w:p w14:paraId="4DDBEF00" w14:textId="06CABED1" w:rsidR="0016777A" w:rsidRDefault="1F7DAFC2" w:rsidP="0016777A">
            <w:pPr>
              <w:rPr>
                <w:lang w:val="es-MX"/>
              </w:rPr>
            </w:pPr>
            <w:r w:rsidRPr="1F7DAFC2">
              <w:rPr>
                <w:lang w:val="es-MX"/>
              </w:rPr>
              <w:t>Forma, espacio y medida.</w:t>
            </w:r>
          </w:p>
        </w:tc>
        <w:tc>
          <w:tcPr>
            <w:tcW w:w="1410" w:type="dxa"/>
          </w:tcPr>
          <w:p w14:paraId="3461D779" w14:textId="3180AFC2" w:rsidR="0016777A" w:rsidRDefault="1F7DAFC2" w:rsidP="0016777A">
            <w:pPr>
              <w:rPr>
                <w:lang w:val="es-MX"/>
              </w:rPr>
            </w:pPr>
            <w:r w:rsidRPr="1F7DAFC2">
              <w:rPr>
                <w:lang w:val="es-MX"/>
              </w:rPr>
              <w:t>Ubicación Espacial</w:t>
            </w:r>
          </w:p>
        </w:tc>
        <w:tc>
          <w:tcPr>
            <w:tcW w:w="3013" w:type="dxa"/>
          </w:tcPr>
          <w:p w14:paraId="3CF2D8B6" w14:textId="29CC68B8" w:rsidR="0016777A" w:rsidRDefault="1F7DAFC2" w:rsidP="0016777A">
            <w:pPr>
              <w:rPr>
                <w:lang w:val="es-MX"/>
              </w:rPr>
            </w:pPr>
            <w:r w:rsidRPr="1F7DAFC2">
              <w:rPr>
                <w:lang w:val="es-MX"/>
              </w:rPr>
              <w:t>-En este aprendizaje se busca que los alumnos construyan sus propios sistemas de referencia en cuanto a la ubicación espacial para que así estos puedan comprender que el espacio puede describirse por medio de puntos de referencia. Se busca que los alumnos tengan oportunidad de establecer las relaciones espaciales a partir de su cuerpo u otros objetos.</w:t>
            </w:r>
          </w:p>
        </w:tc>
        <w:tc>
          <w:tcPr>
            <w:tcW w:w="3461" w:type="dxa"/>
          </w:tcPr>
          <w:p w14:paraId="0FB78278" w14:textId="157AEC5C" w:rsidR="0016777A" w:rsidRDefault="1F7DAFC2" w:rsidP="0016777A">
            <w:pPr>
              <w:rPr>
                <w:lang w:val="es-MX"/>
              </w:rPr>
            </w:pPr>
            <w:r w:rsidRPr="1F7DAFC2">
              <w:rPr>
                <w:lang w:val="es-MX"/>
              </w:rPr>
              <w:t>Ubica objetos y lugares cuya ubicación desconoce, mediante la interpretación de relaciones espaciales y puntos de referencia.</w:t>
            </w:r>
          </w:p>
        </w:tc>
        <w:tc>
          <w:tcPr>
            <w:tcW w:w="2501" w:type="dxa"/>
          </w:tcPr>
          <w:p w14:paraId="1FC39945" w14:textId="3AE98938" w:rsidR="0016777A" w:rsidRDefault="001C7B0D" w:rsidP="00837BD3">
            <w:pPr>
              <w:rPr>
                <w:lang w:val="es-MX"/>
              </w:rPr>
            </w:pPr>
            <w:r>
              <w:rPr>
                <w:lang w:val="es-MX"/>
              </w:rPr>
              <w:t>-</w:t>
            </w:r>
            <w:r>
              <w:rPr>
                <w:lang w:val="es-MX"/>
              </w:rPr>
              <w:t>Comunicar en forma oral la posición de un objeto usando puntos de referencia</w:t>
            </w:r>
            <w:r>
              <w:rPr>
                <w:lang w:val="es-MX"/>
              </w:rPr>
              <w:t>.</w:t>
            </w:r>
          </w:p>
        </w:tc>
        <w:tc>
          <w:tcPr>
            <w:tcW w:w="2494" w:type="dxa"/>
          </w:tcPr>
          <w:p w14:paraId="2261E504" w14:textId="518D178D" w:rsidR="001C7B0D" w:rsidRDefault="001C7B0D" w:rsidP="001C7B0D">
            <w:pPr>
              <w:rPr>
                <w:lang w:val="es-MX"/>
              </w:rPr>
            </w:pPr>
            <w:r>
              <w:rPr>
                <w:lang w:val="es-MX"/>
              </w:rPr>
              <w:t>-</w:t>
            </w:r>
            <w:r>
              <w:rPr>
                <w:lang w:val="es-MX"/>
              </w:rPr>
              <w:t>Organizar el tiempo de una semana y un mes en una tabla, registrando eventos que son familiares e identificando secuencias y repetición de sucesos.</w:t>
            </w:r>
          </w:p>
          <w:p w14:paraId="2CCD6A98" w14:textId="77777777" w:rsidR="001C7B0D" w:rsidRDefault="001C7B0D" w:rsidP="001C7B0D">
            <w:pPr>
              <w:rPr>
                <w:lang w:val="es-MX"/>
              </w:rPr>
            </w:pPr>
          </w:p>
          <w:p w14:paraId="0562CB0E" w14:textId="2A7A11D8" w:rsidR="0016777A" w:rsidRDefault="0016777A" w:rsidP="1F7DAFC2">
            <w:pPr>
              <w:rPr>
                <w:lang w:val="es-MX"/>
              </w:rPr>
            </w:pPr>
          </w:p>
        </w:tc>
      </w:tr>
      <w:tr w:rsidR="0016777A" w14:paraId="34CE0A41" w14:textId="77777777" w:rsidTr="00333A21">
        <w:trPr>
          <w:trHeight w:val="363"/>
        </w:trPr>
        <w:tc>
          <w:tcPr>
            <w:tcW w:w="1115" w:type="dxa"/>
            <w:vMerge/>
            <w:shd w:val="clear" w:color="auto" w:fill="FFFF66"/>
          </w:tcPr>
          <w:p w14:paraId="62EBF3C5" w14:textId="77777777" w:rsidR="0016777A" w:rsidRDefault="0016777A" w:rsidP="0016777A">
            <w:pPr>
              <w:rPr>
                <w:lang w:val="es-MX"/>
              </w:rPr>
            </w:pPr>
          </w:p>
        </w:tc>
        <w:tc>
          <w:tcPr>
            <w:tcW w:w="1410" w:type="dxa"/>
          </w:tcPr>
          <w:p w14:paraId="6D98A12B" w14:textId="33BB2E67" w:rsidR="0016777A" w:rsidRDefault="1F7DAFC2" w:rsidP="1F7DAFC2">
            <w:pPr>
              <w:rPr>
                <w:lang w:val="es-MX"/>
              </w:rPr>
            </w:pPr>
            <w:r w:rsidRPr="1F7DAFC2">
              <w:rPr>
                <w:lang w:val="es-MX"/>
              </w:rPr>
              <w:t>Figuras y cuerpos geométricos</w:t>
            </w:r>
          </w:p>
        </w:tc>
        <w:tc>
          <w:tcPr>
            <w:tcW w:w="3013" w:type="dxa"/>
          </w:tcPr>
          <w:p w14:paraId="2946DB82" w14:textId="32054823" w:rsidR="0016777A" w:rsidRDefault="1F7DAFC2" w:rsidP="0016777A">
            <w:pPr>
              <w:rPr>
                <w:lang w:val="es-MX"/>
              </w:rPr>
            </w:pPr>
            <w:r w:rsidRPr="1F7DAFC2">
              <w:rPr>
                <w:lang w:val="es-MX"/>
              </w:rPr>
              <w:t>-Tiene como propósito de desarrollar la percepción geométrica por medio de situaciones problemáticas en la que los niños reproduzcan modelos y construyen configuraciones con formas figuras y cuerpos geométricos.</w:t>
            </w:r>
          </w:p>
        </w:tc>
        <w:tc>
          <w:tcPr>
            <w:tcW w:w="3461" w:type="dxa"/>
          </w:tcPr>
          <w:p w14:paraId="7A4194DC" w14:textId="30B2EF7B" w:rsidR="0016777A" w:rsidRDefault="1F7DAFC2" w:rsidP="1F7DAFC2">
            <w:pPr>
              <w:rPr>
                <w:lang w:val="es-MX"/>
              </w:rPr>
            </w:pPr>
            <w:r w:rsidRPr="1F7DAFC2">
              <w:rPr>
                <w:lang w:val="es-MX"/>
              </w:rPr>
              <w:t>-Reproduce modelos con formas, figuras y cuerpos geométricos.</w:t>
            </w:r>
          </w:p>
          <w:p w14:paraId="5997CC1D" w14:textId="1594FBDA" w:rsidR="0016777A" w:rsidRDefault="1F7DAFC2" w:rsidP="1F7DAFC2">
            <w:pPr>
              <w:rPr>
                <w:lang w:val="es-MX"/>
              </w:rPr>
            </w:pPr>
            <w:r w:rsidRPr="1F7DAFC2">
              <w:rPr>
                <w:lang w:val="es-MX"/>
              </w:rPr>
              <w:t>-Construye configuraciones con formas, figuras y cuerpos geométricos</w:t>
            </w:r>
          </w:p>
        </w:tc>
        <w:tc>
          <w:tcPr>
            <w:tcW w:w="2501" w:type="dxa"/>
          </w:tcPr>
          <w:p w14:paraId="110FFD37" w14:textId="531E41A6" w:rsidR="0016777A" w:rsidRDefault="001C7B0D" w:rsidP="00837BD3">
            <w:pPr>
              <w:rPr>
                <w:lang w:val="es-MX"/>
              </w:rPr>
            </w:pPr>
            <w:r>
              <w:rPr>
                <w:lang w:val="es-MX"/>
              </w:rPr>
              <w:t>-Identificar características y propiedades de figuras geométricas</w:t>
            </w:r>
            <w:r>
              <w:rPr>
                <w:lang w:val="es-MX"/>
              </w:rPr>
              <w:t>.</w:t>
            </w:r>
          </w:p>
        </w:tc>
        <w:tc>
          <w:tcPr>
            <w:tcW w:w="2494" w:type="dxa"/>
          </w:tcPr>
          <w:p w14:paraId="6B699379" w14:textId="2BB6B855" w:rsidR="0016777A" w:rsidRDefault="001C7B0D" w:rsidP="1F7DAFC2">
            <w:pPr>
              <w:rPr>
                <w:lang w:val="es-MX"/>
              </w:rPr>
            </w:pPr>
            <w:r>
              <w:rPr>
                <w:lang w:val="es-MX"/>
              </w:rPr>
              <w:t>-</w:t>
            </w:r>
            <w:r>
              <w:rPr>
                <w:lang w:val="es-MX"/>
              </w:rPr>
              <w:t>Resolver rompecabezas y trabajar libremente con el tangram y con cuadrados bicolores a partir de un modelo.</w:t>
            </w:r>
          </w:p>
        </w:tc>
      </w:tr>
      <w:tr w:rsidR="1F7DAFC2" w14:paraId="071EA3EA" w14:textId="77777777" w:rsidTr="00333A21">
        <w:trPr>
          <w:trHeight w:val="363"/>
        </w:trPr>
        <w:tc>
          <w:tcPr>
            <w:tcW w:w="1115" w:type="dxa"/>
            <w:vMerge/>
            <w:shd w:val="clear" w:color="auto" w:fill="FFFF66"/>
          </w:tcPr>
          <w:p w14:paraId="4B823038" w14:textId="77777777" w:rsidR="00F25B71" w:rsidRDefault="00F25B71"/>
        </w:tc>
        <w:tc>
          <w:tcPr>
            <w:tcW w:w="1410" w:type="dxa"/>
          </w:tcPr>
          <w:p w14:paraId="32FEE2B9" w14:textId="4ACD9D9D" w:rsidR="1F7DAFC2" w:rsidRDefault="1F7DAFC2" w:rsidP="1F7DAFC2">
            <w:pPr>
              <w:rPr>
                <w:lang w:val="es-MX"/>
              </w:rPr>
            </w:pPr>
            <w:r w:rsidRPr="1F7DAFC2">
              <w:rPr>
                <w:lang w:val="es-MX"/>
              </w:rPr>
              <w:t>Magnitudes y medidas</w:t>
            </w:r>
          </w:p>
        </w:tc>
        <w:tc>
          <w:tcPr>
            <w:tcW w:w="3013" w:type="dxa"/>
          </w:tcPr>
          <w:p w14:paraId="08E79B28" w14:textId="64416DDA" w:rsidR="1F7DAFC2" w:rsidRDefault="1F7DAFC2" w:rsidP="1F7DAFC2">
            <w:pPr>
              <w:rPr>
                <w:lang w:val="es-MX"/>
              </w:rPr>
            </w:pPr>
            <w:r w:rsidRPr="1F7DAFC2">
              <w:rPr>
                <w:lang w:val="es-MX"/>
              </w:rPr>
              <w:t>-se busca que los alumnos tengan experiencias que le permitan el comenzar a reconocer e identificar las magnitudes de longitud, capacidad y tiempo mediante situaciones problemáticas que impliquen la comparación directa o de forma no convencional, con el uso de un intermediario.</w:t>
            </w:r>
          </w:p>
        </w:tc>
        <w:tc>
          <w:tcPr>
            <w:tcW w:w="3461" w:type="dxa"/>
          </w:tcPr>
          <w:p w14:paraId="2F550210" w14:textId="43BA614C" w:rsidR="1F7DAFC2" w:rsidRDefault="1F7DAFC2" w:rsidP="1F7DAFC2">
            <w:pPr>
              <w:rPr>
                <w:lang w:val="es-MX"/>
              </w:rPr>
            </w:pPr>
            <w:r w:rsidRPr="1F7DAFC2">
              <w:rPr>
                <w:lang w:val="es-MX"/>
              </w:rPr>
              <w:t>-Identifica la longitud de varios objetos a través de la comparación directa o mediante el uso de un intermediario</w:t>
            </w:r>
          </w:p>
          <w:p w14:paraId="32424F38" w14:textId="69A6C599" w:rsidR="1F7DAFC2" w:rsidRDefault="1F7DAFC2" w:rsidP="1F7DAFC2">
            <w:pPr>
              <w:rPr>
                <w:lang w:val="es-MX"/>
              </w:rPr>
            </w:pPr>
            <w:r w:rsidRPr="1F7DAFC2">
              <w:rPr>
                <w:lang w:val="es-MX"/>
              </w:rPr>
              <w:t>-Compara distancias mediante el uso de un intermediario.</w:t>
            </w:r>
          </w:p>
          <w:p w14:paraId="7C1EAF74" w14:textId="3393A496" w:rsidR="1F7DAFC2" w:rsidRDefault="1F7DAFC2" w:rsidP="1F7DAFC2">
            <w:pPr>
              <w:rPr>
                <w:lang w:val="es-MX"/>
              </w:rPr>
            </w:pPr>
            <w:r w:rsidRPr="1F7DAFC2">
              <w:rPr>
                <w:lang w:val="es-MX"/>
              </w:rPr>
              <w:t>-Mide objetos o distancias mediante el uso de unidades no convencionales.</w:t>
            </w:r>
          </w:p>
          <w:p w14:paraId="79B62B75" w14:textId="0F10EC70" w:rsidR="1F7DAFC2" w:rsidRDefault="1F7DAFC2" w:rsidP="1F7DAFC2">
            <w:pPr>
              <w:rPr>
                <w:lang w:val="es-MX"/>
              </w:rPr>
            </w:pPr>
            <w:r w:rsidRPr="1F7DAFC2">
              <w:rPr>
                <w:lang w:val="es-MX"/>
              </w:rPr>
              <w:t xml:space="preserve">-Usa unidades no convencionales para medir la capacidad con distintos propósitos. </w:t>
            </w:r>
          </w:p>
          <w:p w14:paraId="52AFC6C0" w14:textId="0DE7F385" w:rsidR="1F7DAFC2" w:rsidRDefault="1F7DAFC2" w:rsidP="1F7DAFC2">
            <w:pPr>
              <w:rPr>
                <w:lang w:val="es-MX"/>
              </w:rPr>
            </w:pPr>
            <w:r w:rsidRPr="1F7DAFC2">
              <w:rPr>
                <w:lang w:val="es-MX"/>
              </w:rPr>
              <w:t>-Identifica varios eventos de su vida cotidiana y dice el orden en el que ocurren.</w:t>
            </w:r>
          </w:p>
          <w:p w14:paraId="1C39BE1F" w14:textId="3D8FBCB9" w:rsidR="1F7DAFC2" w:rsidRDefault="1F7DAFC2" w:rsidP="1F7DAFC2">
            <w:pPr>
              <w:rPr>
                <w:lang w:val="es-MX"/>
              </w:rPr>
            </w:pPr>
            <w:r w:rsidRPr="1F7DAFC2">
              <w:rPr>
                <w:lang w:val="es-MX"/>
              </w:rPr>
              <w:t xml:space="preserve">-Usa expresiones temporales y representaciones graficas para explicar la sucesión de eventos. </w:t>
            </w:r>
          </w:p>
        </w:tc>
        <w:tc>
          <w:tcPr>
            <w:tcW w:w="2501" w:type="dxa"/>
          </w:tcPr>
          <w:p w14:paraId="378C927B" w14:textId="61019815" w:rsidR="001C7B0D" w:rsidRDefault="001C7B0D" w:rsidP="001C7B0D">
            <w:pPr>
              <w:rPr>
                <w:lang w:val="es-MX"/>
              </w:rPr>
            </w:pPr>
            <w:r>
              <w:rPr>
                <w:lang w:val="es-MX"/>
              </w:rPr>
              <w:t>-Reconocer la longitud y la capacidad mayor, igual o menor entre dos objetos o puntos, y entre recipientes.</w:t>
            </w:r>
          </w:p>
          <w:p w14:paraId="3193FDD8" w14:textId="40767579" w:rsidR="1F7DAFC2" w:rsidRDefault="1F7DAFC2" w:rsidP="00837BD3">
            <w:pPr>
              <w:rPr>
                <w:lang w:val="es-MX"/>
              </w:rPr>
            </w:pPr>
          </w:p>
        </w:tc>
        <w:tc>
          <w:tcPr>
            <w:tcW w:w="2494" w:type="dxa"/>
          </w:tcPr>
          <w:p w14:paraId="32A42228" w14:textId="4D340DC8" w:rsidR="1F7DAFC2" w:rsidRDefault="001C7B0D" w:rsidP="1F7DAFC2">
            <w:pPr>
              <w:rPr>
                <w:lang w:val="es-MX"/>
              </w:rPr>
            </w:pPr>
            <w:r>
              <w:rPr>
                <w:lang w:val="es-MX"/>
              </w:rPr>
              <w:t>-Encontrar objetos o recipientes que compartan la misma longitud (en alguna de sus dimensiones) o capacidad.</w:t>
            </w:r>
          </w:p>
        </w:tc>
      </w:tr>
    </w:tbl>
    <w:p w14:paraId="3FE9F23F" w14:textId="77777777" w:rsidR="00D54B22" w:rsidRDefault="00D54B22">
      <w:pPr>
        <w:rPr>
          <w:lang w:val="es-MX"/>
        </w:rPr>
      </w:pPr>
    </w:p>
    <w:p w14:paraId="1F72F646" w14:textId="77777777" w:rsidR="00434323" w:rsidRDefault="00434323">
      <w:pPr>
        <w:rPr>
          <w:lang w:val="es-MX"/>
        </w:rPr>
      </w:pPr>
    </w:p>
    <w:p w14:paraId="08CE6F91" w14:textId="77777777" w:rsidR="00434323" w:rsidRDefault="00434323" w:rsidP="00434323">
      <w:pPr>
        <w:jc w:val="center"/>
        <w:rPr>
          <w:lang w:val="es-MX"/>
        </w:rPr>
      </w:pPr>
    </w:p>
    <w:p w14:paraId="61CDCEAD" w14:textId="77777777" w:rsidR="00434323" w:rsidRDefault="00434323" w:rsidP="00434323">
      <w:pPr>
        <w:jc w:val="center"/>
        <w:rPr>
          <w:lang w:val="es-MX"/>
        </w:rPr>
      </w:pPr>
    </w:p>
    <w:p w14:paraId="6BB9E253" w14:textId="77777777" w:rsidR="00434323" w:rsidRDefault="00434323" w:rsidP="00434323">
      <w:pPr>
        <w:jc w:val="center"/>
        <w:rPr>
          <w:lang w:val="es-MX"/>
        </w:rPr>
      </w:pPr>
    </w:p>
    <w:p w14:paraId="23DE523C" w14:textId="77777777" w:rsidR="00434323" w:rsidRDefault="00434323" w:rsidP="00434323">
      <w:pPr>
        <w:jc w:val="center"/>
        <w:rPr>
          <w:lang w:val="es-MX"/>
        </w:rPr>
      </w:pPr>
    </w:p>
    <w:p w14:paraId="52E56223" w14:textId="77777777" w:rsidR="00434323" w:rsidRDefault="00434323" w:rsidP="00434323">
      <w:pPr>
        <w:jc w:val="center"/>
        <w:rPr>
          <w:lang w:val="es-MX"/>
        </w:rPr>
      </w:pPr>
    </w:p>
    <w:p w14:paraId="07547A01" w14:textId="77777777" w:rsidR="00434323" w:rsidRDefault="00434323" w:rsidP="00434323">
      <w:pPr>
        <w:jc w:val="center"/>
        <w:rPr>
          <w:lang w:val="es-MX"/>
        </w:rPr>
      </w:pPr>
    </w:p>
    <w:p w14:paraId="5043CB0F" w14:textId="77777777" w:rsidR="00434323" w:rsidRDefault="00434323" w:rsidP="00434323">
      <w:pPr>
        <w:jc w:val="center"/>
        <w:rPr>
          <w:lang w:val="es-MX"/>
        </w:rPr>
      </w:pPr>
    </w:p>
    <w:p w14:paraId="10FE5439" w14:textId="77777777" w:rsidR="001C7B0D" w:rsidRDefault="001C7B0D" w:rsidP="00333A21">
      <w:pPr>
        <w:jc w:val="center"/>
        <w:rPr>
          <w:lang w:val="es-MX"/>
        </w:rPr>
      </w:pPr>
    </w:p>
    <w:p w14:paraId="62A4A05F" w14:textId="77777777" w:rsidR="001C7B0D" w:rsidRDefault="001C7B0D" w:rsidP="00333A21">
      <w:pPr>
        <w:jc w:val="center"/>
        <w:rPr>
          <w:lang w:val="es-MX"/>
        </w:rPr>
      </w:pPr>
    </w:p>
    <w:p w14:paraId="58E9F198" w14:textId="77777777" w:rsidR="001C7B0D" w:rsidRDefault="001C7B0D" w:rsidP="00333A21">
      <w:pPr>
        <w:jc w:val="center"/>
        <w:rPr>
          <w:lang w:val="es-MX"/>
        </w:rPr>
      </w:pPr>
    </w:p>
    <w:p w14:paraId="1AD47555" w14:textId="77777777" w:rsidR="001C7B0D" w:rsidRDefault="001C7B0D" w:rsidP="00333A21">
      <w:pPr>
        <w:jc w:val="center"/>
        <w:rPr>
          <w:lang w:val="es-MX"/>
        </w:rPr>
      </w:pPr>
    </w:p>
    <w:p w14:paraId="73C977F5" w14:textId="77777777" w:rsidR="001C7B0D" w:rsidRDefault="001C7B0D" w:rsidP="00333A21">
      <w:pPr>
        <w:jc w:val="center"/>
        <w:rPr>
          <w:lang w:val="es-MX"/>
        </w:rPr>
      </w:pPr>
    </w:p>
    <w:p w14:paraId="48443BDF" w14:textId="77777777" w:rsidR="001C7B0D" w:rsidRDefault="001C7B0D" w:rsidP="00333A21">
      <w:pPr>
        <w:jc w:val="center"/>
        <w:rPr>
          <w:lang w:val="es-MX"/>
        </w:rPr>
      </w:pPr>
    </w:p>
    <w:p w14:paraId="7B1BA507" w14:textId="77777777" w:rsidR="001C7B0D" w:rsidRDefault="001C7B0D" w:rsidP="00333A21">
      <w:pPr>
        <w:jc w:val="center"/>
        <w:rPr>
          <w:lang w:val="es-MX"/>
        </w:rPr>
      </w:pPr>
    </w:p>
    <w:p w14:paraId="31521CFB" w14:textId="77777777" w:rsidR="001C7B0D" w:rsidRDefault="001C7B0D" w:rsidP="00333A21">
      <w:pPr>
        <w:jc w:val="center"/>
        <w:rPr>
          <w:lang w:val="es-MX"/>
        </w:rPr>
      </w:pPr>
    </w:p>
    <w:p w14:paraId="3384CDA2" w14:textId="77777777" w:rsidR="001C7B0D" w:rsidRDefault="001C7B0D" w:rsidP="00333A21">
      <w:pPr>
        <w:jc w:val="center"/>
        <w:rPr>
          <w:lang w:val="es-MX"/>
        </w:rPr>
      </w:pPr>
    </w:p>
    <w:p w14:paraId="69728A75" w14:textId="77777777" w:rsidR="001C7B0D" w:rsidRDefault="001C7B0D" w:rsidP="00333A21">
      <w:pPr>
        <w:jc w:val="center"/>
        <w:rPr>
          <w:lang w:val="es-MX"/>
        </w:rPr>
      </w:pPr>
    </w:p>
    <w:p w14:paraId="4B4315D3" w14:textId="77777777" w:rsidR="001C7B0D" w:rsidRDefault="001C7B0D" w:rsidP="00333A21">
      <w:pPr>
        <w:jc w:val="center"/>
        <w:rPr>
          <w:lang w:val="es-MX"/>
        </w:rPr>
      </w:pPr>
    </w:p>
    <w:p w14:paraId="607FA333" w14:textId="77777777" w:rsidR="001C7B0D" w:rsidRDefault="001C7B0D" w:rsidP="00333A21">
      <w:pPr>
        <w:jc w:val="center"/>
        <w:rPr>
          <w:lang w:val="es-MX"/>
        </w:rPr>
      </w:pPr>
    </w:p>
    <w:p w14:paraId="19196576" w14:textId="77777777" w:rsidR="001C7B0D" w:rsidRDefault="001C7B0D" w:rsidP="00333A21">
      <w:pPr>
        <w:jc w:val="center"/>
        <w:rPr>
          <w:lang w:val="es-MX"/>
        </w:rPr>
      </w:pPr>
    </w:p>
    <w:p w14:paraId="48505BB5" w14:textId="77777777" w:rsidR="001C7B0D" w:rsidRDefault="001C7B0D" w:rsidP="00333A21">
      <w:pPr>
        <w:jc w:val="center"/>
        <w:rPr>
          <w:lang w:val="es-MX"/>
        </w:rPr>
      </w:pPr>
    </w:p>
    <w:p w14:paraId="68557056" w14:textId="77777777" w:rsidR="001C7B0D" w:rsidRDefault="001C7B0D" w:rsidP="00333A21">
      <w:pPr>
        <w:jc w:val="center"/>
        <w:rPr>
          <w:lang w:val="es-MX"/>
        </w:rPr>
      </w:pPr>
    </w:p>
    <w:p w14:paraId="559B4086" w14:textId="77777777" w:rsidR="001C7B0D" w:rsidRDefault="001C7B0D" w:rsidP="00333A21">
      <w:pPr>
        <w:jc w:val="center"/>
        <w:rPr>
          <w:lang w:val="es-MX"/>
        </w:rPr>
      </w:pPr>
    </w:p>
    <w:p w14:paraId="6DE3FDBF" w14:textId="77777777" w:rsidR="001C7B0D" w:rsidRDefault="001C7B0D" w:rsidP="00333A21">
      <w:pPr>
        <w:jc w:val="center"/>
        <w:rPr>
          <w:lang w:val="es-MX"/>
        </w:rPr>
      </w:pPr>
    </w:p>
    <w:p w14:paraId="0065401C" w14:textId="77777777" w:rsidR="001C7B0D" w:rsidRDefault="001C7B0D" w:rsidP="00333A21">
      <w:pPr>
        <w:jc w:val="center"/>
        <w:rPr>
          <w:lang w:val="es-MX"/>
        </w:rPr>
      </w:pPr>
    </w:p>
    <w:p w14:paraId="538FC2EB" w14:textId="5E8A72DC" w:rsidR="00434323" w:rsidRDefault="00EE17DC" w:rsidP="00333A21">
      <w:pPr>
        <w:jc w:val="center"/>
        <w:rPr>
          <w:lang w:val="es-MX"/>
        </w:rPr>
      </w:pPr>
      <w:r>
        <w:rPr>
          <w:lang w:val="es-MX"/>
        </w:rPr>
        <w:t>RUBRICA DE E</w:t>
      </w:r>
      <w:r w:rsidR="00434323">
        <w:rPr>
          <w:lang w:val="es-MX"/>
        </w:rPr>
        <w:t>VALUACIÓN</w:t>
      </w:r>
      <w:r w:rsidR="00333A21">
        <w:rPr>
          <w:lang w:val="es-MX"/>
        </w:rPr>
        <w:t>.</w:t>
      </w:r>
    </w:p>
    <w:p w14:paraId="61829076" w14:textId="77777777" w:rsidR="00434323" w:rsidRPr="00D54B22" w:rsidRDefault="00434323">
      <w:pPr>
        <w:rPr>
          <w:lang w:val="es-MX"/>
        </w:rPr>
      </w:pPr>
      <w:r>
        <w:rPr>
          <w:noProof/>
          <w:lang w:val="es-MX" w:eastAsia="es-MX"/>
        </w:rPr>
        <w:lastRenderedPageBreak/>
        <w:drawing>
          <wp:inline distT="0" distB="0" distL="0" distR="0" wp14:anchorId="0EB716D1" wp14:editId="07777777">
            <wp:extent cx="7915275" cy="5194500"/>
            <wp:effectExtent l="0" t="0" r="0" b="6350"/>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8494" r="6753"/>
                    <a:stretch/>
                  </pic:blipFill>
                  <pic:spPr bwMode="auto">
                    <a:xfrm>
                      <a:off x="0" y="0"/>
                      <a:ext cx="7920365" cy="51978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sectPr w:rsidR="00434323" w:rsidRPr="00D54B22" w:rsidSect="00D54B22">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625D7"/>
    <w:multiLevelType w:val="hybridMultilevel"/>
    <w:tmpl w:val="CE065C38"/>
    <w:lvl w:ilvl="0" w:tplc="607848A4">
      <w:start w:val="1"/>
      <w:numFmt w:val="bullet"/>
      <w:lvlText w:val="-"/>
      <w:lvlJc w:val="left"/>
      <w:pPr>
        <w:ind w:left="720" w:hanging="360"/>
      </w:pPr>
      <w:rPr>
        <w:rFonts w:ascii="Calibri" w:hAnsi="Calibri" w:hint="default"/>
      </w:rPr>
    </w:lvl>
    <w:lvl w:ilvl="1" w:tplc="16B8D88C">
      <w:start w:val="1"/>
      <w:numFmt w:val="bullet"/>
      <w:lvlText w:val="o"/>
      <w:lvlJc w:val="left"/>
      <w:pPr>
        <w:ind w:left="1440" w:hanging="360"/>
      </w:pPr>
      <w:rPr>
        <w:rFonts w:ascii="Courier New" w:hAnsi="Courier New" w:hint="default"/>
      </w:rPr>
    </w:lvl>
    <w:lvl w:ilvl="2" w:tplc="30FA6A74">
      <w:start w:val="1"/>
      <w:numFmt w:val="bullet"/>
      <w:lvlText w:val=""/>
      <w:lvlJc w:val="left"/>
      <w:pPr>
        <w:ind w:left="2160" w:hanging="360"/>
      </w:pPr>
      <w:rPr>
        <w:rFonts w:ascii="Wingdings" w:hAnsi="Wingdings" w:hint="default"/>
      </w:rPr>
    </w:lvl>
    <w:lvl w:ilvl="3" w:tplc="43B60546">
      <w:start w:val="1"/>
      <w:numFmt w:val="bullet"/>
      <w:lvlText w:val=""/>
      <w:lvlJc w:val="left"/>
      <w:pPr>
        <w:ind w:left="2880" w:hanging="360"/>
      </w:pPr>
      <w:rPr>
        <w:rFonts w:ascii="Symbol" w:hAnsi="Symbol" w:hint="default"/>
      </w:rPr>
    </w:lvl>
    <w:lvl w:ilvl="4" w:tplc="99E8E9E6">
      <w:start w:val="1"/>
      <w:numFmt w:val="bullet"/>
      <w:lvlText w:val="o"/>
      <w:lvlJc w:val="left"/>
      <w:pPr>
        <w:ind w:left="3600" w:hanging="360"/>
      </w:pPr>
      <w:rPr>
        <w:rFonts w:ascii="Courier New" w:hAnsi="Courier New" w:hint="default"/>
      </w:rPr>
    </w:lvl>
    <w:lvl w:ilvl="5" w:tplc="BC66269E">
      <w:start w:val="1"/>
      <w:numFmt w:val="bullet"/>
      <w:lvlText w:val=""/>
      <w:lvlJc w:val="left"/>
      <w:pPr>
        <w:ind w:left="4320" w:hanging="360"/>
      </w:pPr>
      <w:rPr>
        <w:rFonts w:ascii="Wingdings" w:hAnsi="Wingdings" w:hint="default"/>
      </w:rPr>
    </w:lvl>
    <w:lvl w:ilvl="6" w:tplc="E7E4A514">
      <w:start w:val="1"/>
      <w:numFmt w:val="bullet"/>
      <w:lvlText w:val=""/>
      <w:lvlJc w:val="left"/>
      <w:pPr>
        <w:ind w:left="5040" w:hanging="360"/>
      </w:pPr>
      <w:rPr>
        <w:rFonts w:ascii="Symbol" w:hAnsi="Symbol" w:hint="default"/>
      </w:rPr>
    </w:lvl>
    <w:lvl w:ilvl="7" w:tplc="67CEAAC8">
      <w:start w:val="1"/>
      <w:numFmt w:val="bullet"/>
      <w:lvlText w:val="o"/>
      <w:lvlJc w:val="left"/>
      <w:pPr>
        <w:ind w:left="5760" w:hanging="360"/>
      </w:pPr>
      <w:rPr>
        <w:rFonts w:ascii="Courier New" w:hAnsi="Courier New" w:hint="default"/>
      </w:rPr>
    </w:lvl>
    <w:lvl w:ilvl="8" w:tplc="3A9499D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MX"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B22"/>
    <w:rsid w:val="0016777A"/>
    <w:rsid w:val="001C7B0D"/>
    <w:rsid w:val="001E544D"/>
    <w:rsid w:val="00333A21"/>
    <w:rsid w:val="00434323"/>
    <w:rsid w:val="006267F3"/>
    <w:rsid w:val="00837BD3"/>
    <w:rsid w:val="00924492"/>
    <w:rsid w:val="009E4EE5"/>
    <w:rsid w:val="00D54B22"/>
    <w:rsid w:val="00EE17DC"/>
    <w:rsid w:val="00F25B71"/>
    <w:rsid w:val="02786591"/>
    <w:rsid w:val="08B38656"/>
    <w:rsid w:val="0D24DD19"/>
    <w:rsid w:val="127197C0"/>
    <w:rsid w:val="1B706C98"/>
    <w:rsid w:val="1C360319"/>
    <w:rsid w:val="1DE1DF61"/>
    <w:rsid w:val="1F6B78CC"/>
    <w:rsid w:val="1F7DAFC2"/>
    <w:rsid w:val="27DBCC3F"/>
    <w:rsid w:val="29584E20"/>
    <w:rsid w:val="2EDBBA37"/>
    <w:rsid w:val="2F687439"/>
    <w:rsid w:val="3040D928"/>
    <w:rsid w:val="35C4453F"/>
    <w:rsid w:val="36BBD170"/>
    <w:rsid w:val="3880716E"/>
    <w:rsid w:val="39EFA8F4"/>
    <w:rsid w:val="437D62DD"/>
    <w:rsid w:val="4629E7CC"/>
    <w:rsid w:val="46CE2BFC"/>
    <w:rsid w:val="46E19C7A"/>
    <w:rsid w:val="4E843B0B"/>
    <w:rsid w:val="4FC748F5"/>
    <w:rsid w:val="52EF4277"/>
    <w:rsid w:val="5A1E262F"/>
    <w:rsid w:val="5AF68B1E"/>
    <w:rsid w:val="5BB9F690"/>
    <w:rsid w:val="5EDE26D4"/>
    <w:rsid w:val="608D67B3"/>
    <w:rsid w:val="6560D8D6"/>
    <w:rsid w:val="66E47DF4"/>
    <w:rsid w:val="6CC3DD4D"/>
    <w:rsid w:val="6FFB7E0F"/>
    <w:rsid w:val="763E26B8"/>
    <w:rsid w:val="7DA12B2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28677F"/>
  <w15:docId w15:val="{CFB08F05-5CC5-4653-B262-4D1C956C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B2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54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4323"/>
    <w:rPr>
      <w:rFonts w:ascii="Tahoma" w:hAnsi="Tahoma" w:cs="Tahoma"/>
      <w:sz w:val="16"/>
      <w:szCs w:val="16"/>
    </w:rPr>
  </w:style>
  <w:style w:type="character" w:customStyle="1" w:styleId="TextodegloboCar">
    <w:name w:val="Texto de globo Car"/>
    <w:basedOn w:val="Fuentedeprrafopredeter"/>
    <w:link w:val="Textodeglobo"/>
    <w:uiPriority w:val="99"/>
    <w:semiHidden/>
    <w:rsid w:val="00434323"/>
    <w:rPr>
      <w:rFonts w:ascii="Tahoma" w:eastAsia="Times New Roman" w:hAnsi="Tahoma" w:cs="Tahoma"/>
      <w:sz w:val="16"/>
      <w:szCs w:val="16"/>
      <w:lang w:eastAsia="es-ES"/>
    </w:rPr>
  </w:style>
  <w:style w:type="paragraph" w:customStyle="1" w:styleId="paragraph">
    <w:name w:val="paragraph"/>
    <w:basedOn w:val="Normal"/>
    <w:rsid w:val="009E4EE5"/>
    <w:pPr>
      <w:spacing w:before="100" w:beforeAutospacing="1" w:after="100" w:afterAutospacing="1"/>
    </w:pPr>
    <w:rPr>
      <w:lang w:val="es-MX" w:eastAsia="es-MX"/>
    </w:rPr>
  </w:style>
  <w:style w:type="character" w:customStyle="1" w:styleId="normaltextrun">
    <w:name w:val="normaltextrun"/>
    <w:basedOn w:val="Fuentedeprrafopredeter"/>
    <w:rsid w:val="009E4EE5"/>
  </w:style>
  <w:style w:type="character" w:customStyle="1" w:styleId="eop">
    <w:name w:val="eop"/>
    <w:basedOn w:val="Fuentedeprrafopredeter"/>
    <w:rsid w:val="009E4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59766">
      <w:bodyDiv w:val="1"/>
      <w:marLeft w:val="0"/>
      <w:marRight w:val="0"/>
      <w:marTop w:val="0"/>
      <w:marBottom w:val="0"/>
      <w:divBdr>
        <w:top w:val="none" w:sz="0" w:space="0" w:color="auto"/>
        <w:left w:val="none" w:sz="0" w:space="0" w:color="auto"/>
        <w:bottom w:val="none" w:sz="0" w:space="0" w:color="auto"/>
        <w:right w:val="none" w:sz="0" w:space="0" w:color="auto"/>
      </w:divBdr>
      <w:divsChild>
        <w:div w:id="1473795175">
          <w:marLeft w:val="0"/>
          <w:marRight w:val="0"/>
          <w:marTop w:val="0"/>
          <w:marBottom w:val="0"/>
          <w:divBdr>
            <w:top w:val="none" w:sz="0" w:space="0" w:color="auto"/>
            <w:left w:val="none" w:sz="0" w:space="0" w:color="auto"/>
            <w:bottom w:val="none" w:sz="0" w:space="0" w:color="auto"/>
            <w:right w:val="none" w:sz="0" w:space="0" w:color="auto"/>
          </w:divBdr>
        </w:div>
        <w:div w:id="528765651">
          <w:marLeft w:val="0"/>
          <w:marRight w:val="0"/>
          <w:marTop w:val="0"/>
          <w:marBottom w:val="0"/>
          <w:divBdr>
            <w:top w:val="none" w:sz="0" w:space="0" w:color="auto"/>
            <w:left w:val="none" w:sz="0" w:space="0" w:color="auto"/>
            <w:bottom w:val="none" w:sz="0" w:space="0" w:color="auto"/>
            <w:right w:val="none" w:sz="0" w:space="0" w:color="auto"/>
          </w:divBdr>
        </w:div>
      </w:divsChild>
    </w:div>
    <w:div w:id="1102529103">
      <w:bodyDiv w:val="1"/>
      <w:marLeft w:val="0"/>
      <w:marRight w:val="0"/>
      <w:marTop w:val="0"/>
      <w:marBottom w:val="0"/>
      <w:divBdr>
        <w:top w:val="none" w:sz="0" w:space="0" w:color="auto"/>
        <w:left w:val="none" w:sz="0" w:space="0" w:color="auto"/>
        <w:bottom w:val="none" w:sz="0" w:space="0" w:color="auto"/>
        <w:right w:val="none" w:sz="0" w:space="0" w:color="auto"/>
      </w:divBdr>
    </w:div>
    <w:div w:id="127802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244415E7138769429A95D1E5CE116762" ma:contentTypeVersion="2" ma:contentTypeDescription="Crear nuevo documento." ma:contentTypeScope="" ma:versionID="91fdf2b6173d931b745de808bc660ac8">
  <xsd:schema xmlns:xsd="http://www.w3.org/2001/XMLSchema" xmlns:xs="http://www.w3.org/2001/XMLSchema" xmlns:p="http://schemas.microsoft.com/office/2006/metadata/properties" xmlns:ns2="6e271698-2bab-4957-99ca-e5d9fd7e774b" targetNamespace="http://schemas.microsoft.com/office/2006/metadata/properties" ma:root="true" ma:fieldsID="70f1de3b211e88f51a0dc0fd6bb62862" ns2:_="">
    <xsd:import namespace="6e271698-2bab-4957-99ca-e5d9fd7e774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71698-2bab-4957-99ca-e5d9fd7e7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873B4D-8825-44AA-ADB1-FE5B2C020312}">
  <ds:schemaRefs>
    <ds:schemaRef ds:uri="http://schemas.openxmlformats.org/officeDocument/2006/bibliography"/>
  </ds:schemaRefs>
</ds:datastoreItem>
</file>

<file path=customXml/itemProps2.xml><?xml version="1.0" encoding="utf-8"?>
<ds:datastoreItem xmlns:ds="http://schemas.openxmlformats.org/officeDocument/2006/customXml" ds:itemID="{E4D94F26-C9FB-4996-821F-5280304BA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71698-2bab-4957-99ca-e5d9fd7e7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9DB093-57FE-48C9-AAFA-FB82C1CDC156}">
  <ds:schemaRefs>
    <ds:schemaRef ds:uri="http://schemas.microsoft.com/sharepoint/v3/contenttype/forms"/>
  </ds:schemaRefs>
</ds:datastoreItem>
</file>

<file path=customXml/itemProps4.xml><?xml version="1.0" encoding="utf-8"?>
<ds:datastoreItem xmlns:ds="http://schemas.openxmlformats.org/officeDocument/2006/customXml" ds:itemID="{2D1B1670-8133-43DD-B446-8EEBF8557C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528</Words>
  <Characters>2909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AulaDigital</dc:creator>
  <cp:lastModifiedBy>victor2003franco@outlook.com</cp:lastModifiedBy>
  <cp:revision>6</cp:revision>
  <dcterms:created xsi:type="dcterms:W3CDTF">2022-02-15T17:49:00Z</dcterms:created>
  <dcterms:modified xsi:type="dcterms:W3CDTF">2022-02-23T23:35:00Z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0x010100244415E7138769429A95D1E5CE116762</vt:lpwstr>
  </property>
</Properties>
</file>