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0115" w14:textId="0565B53D" w:rsidR="00D54B22" w:rsidRPr="009F096E" w:rsidRDefault="009F096E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  <w:r>
        <w:rPr>
          <w:rFonts w:eastAsia="Arial Unicode MS"/>
          <w:bCs/>
          <w:iCs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13527756" wp14:editId="62B38CCE">
            <wp:simplePos x="0" y="0"/>
            <wp:positionH relativeFrom="margin">
              <wp:posOffset>-427355</wp:posOffset>
            </wp:positionH>
            <wp:positionV relativeFrom="paragraph">
              <wp:posOffset>-165735</wp:posOffset>
            </wp:positionV>
            <wp:extent cx="2192983" cy="16306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83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B22" w:rsidRPr="009F096E">
        <w:rPr>
          <w:rFonts w:eastAsia="Arial Unicode MS"/>
          <w:b/>
          <w:iCs/>
          <w:lang w:val="es-MX"/>
        </w:rPr>
        <w:t>ESCUELA NORMAL DE EDUCACIÓN PREESCOLAR</w:t>
      </w:r>
    </w:p>
    <w:p w14:paraId="0A37501D" w14:textId="0445B595" w:rsidR="00D54B22" w:rsidRDefault="00FE0D17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Licenciatura en educación preescolar</w:t>
      </w:r>
    </w:p>
    <w:p w14:paraId="0153CA8F" w14:textId="02AF9825" w:rsidR="009F096E" w:rsidRPr="009F096E" w:rsidRDefault="009F096E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</w:p>
    <w:p w14:paraId="179ED253" w14:textId="62197335" w:rsidR="00FE0D17" w:rsidRPr="009F096E" w:rsidRDefault="00FE0D17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Curso: </w:t>
      </w:r>
      <w:r w:rsidRPr="009F096E">
        <w:rPr>
          <w:rFonts w:eastAsia="Arial Unicode MS"/>
          <w:bCs/>
          <w:iCs/>
          <w:lang w:val="es-MX"/>
        </w:rPr>
        <w:t>Forma, espacio y medida</w:t>
      </w:r>
    </w:p>
    <w:p w14:paraId="741797A4" w14:textId="03BF57F0" w:rsidR="00FE0D17" w:rsidRPr="009F096E" w:rsidRDefault="00FE0D17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Docente: </w:t>
      </w:r>
      <w:r w:rsidRPr="009F096E">
        <w:rPr>
          <w:rFonts w:eastAsia="Arial Unicode MS"/>
          <w:bCs/>
          <w:iCs/>
          <w:lang w:val="es-MX"/>
        </w:rPr>
        <w:t xml:space="preserve">María Teresa </w:t>
      </w:r>
      <w:r w:rsidR="009F096E" w:rsidRPr="009F096E">
        <w:rPr>
          <w:rFonts w:eastAsia="Arial Unicode MS"/>
          <w:bCs/>
          <w:iCs/>
          <w:lang w:val="es-MX"/>
        </w:rPr>
        <w:t>Cerda Orocio</w:t>
      </w:r>
      <w:r w:rsidR="009F096E" w:rsidRPr="009F096E">
        <w:rPr>
          <w:rFonts w:eastAsia="Arial Unicode MS"/>
          <w:b/>
          <w:iCs/>
          <w:lang w:val="es-MX"/>
        </w:rPr>
        <w:t xml:space="preserve"> </w:t>
      </w:r>
    </w:p>
    <w:p w14:paraId="66BB27F3" w14:textId="53BD9DED" w:rsidR="00FE0D17" w:rsidRPr="009F096E" w:rsidRDefault="00FE0D17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Alumna:</w:t>
      </w:r>
      <w:r w:rsidRPr="009F096E">
        <w:rPr>
          <w:rFonts w:eastAsia="Arial Unicode MS"/>
          <w:bCs/>
          <w:iCs/>
          <w:lang w:val="es-MX"/>
        </w:rPr>
        <w:t xml:space="preserve"> Tamara Gpe. Sansores Robles</w:t>
      </w:r>
    </w:p>
    <w:p w14:paraId="2C60770C" w14:textId="068E709F" w:rsidR="00FE0D17" w:rsidRDefault="00FE0D17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No. de lista: </w:t>
      </w:r>
      <w:r w:rsidRPr="009F096E">
        <w:rPr>
          <w:rFonts w:eastAsia="Arial Unicode MS"/>
          <w:bCs/>
          <w:iCs/>
          <w:lang w:val="es-MX"/>
        </w:rPr>
        <w:t>20</w:t>
      </w:r>
    </w:p>
    <w:p w14:paraId="21833EBC" w14:textId="77777777" w:rsidR="009F096E" w:rsidRPr="009F096E" w:rsidRDefault="009F096E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</w:p>
    <w:p w14:paraId="39A7BBF2" w14:textId="77777777" w:rsidR="009F096E" w:rsidRDefault="00D54B22" w:rsidP="009F096E">
      <w:pPr>
        <w:spacing w:line="276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Unidad</w:t>
      </w:r>
      <w:r w:rsidR="00FE0D17" w:rsidRPr="009F096E">
        <w:rPr>
          <w:rFonts w:eastAsia="Arial Unicode MS"/>
          <w:b/>
          <w:iCs/>
          <w:lang w:val="es-MX"/>
        </w:rPr>
        <w:t xml:space="preserve"> I:</w:t>
      </w:r>
      <w:r w:rsidR="009F096E">
        <w:rPr>
          <w:rFonts w:eastAsia="Arial Unicode MS"/>
          <w:b/>
          <w:iCs/>
          <w:lang w:val="es-MX"/>
        </w:rPr>
        <w:t xml:space="preserve"> </w:t>
      </w:r>
      <w:r w:rsidR="009F096E">
        <w:rPr>
          <w:rFonts w:eastAsia="Arial Unicode MS"/>
          <w:bCs/>
          <w:iCs/>
          <w:lang w:val="es-MX"/>
        </w:rPr>
        <w:t xml:space="preserve">El pensamiento geométrico y su enseñanza u aprendizaje, en el plan y programa de estudios de educación preescolar </w:t>
      </w:r>
    </w:p>
    <w:p w14:paraId="02EB378F" w14:textId="7B990D7F" w:rsidR="00D54B22" w:rsidRPr="009F096E" w:rsidRDefault="00FE0D17" w:rsidP="009F096E">
      <w:pPr>
        <w:spacing w:line="276" w:lineRule="auto"/>
        <w:ind w:left="142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 </w:t>
      </w:r>
    </w:p>
    <w:p w14:paraId="7C3F8954" w14:textId="46267DAA" w:rsidR="00FE0D17" w:rsidRPr="009F096E" w:rsidRDefault="00FE0D17" w:rsidP="009F096E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APRENDIZAJE ESPERADO:</w:t>
      </w:r>
    </w:p>
    <w:p w14:paraId="36A7970B" w14:textId="57E1607D" w:rsidR="00D54B22" w:rsidRPr="009F096E" w:rsidRDefault="00D54B22" w:rsidP="009F096E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lang w:val="es-MX"/>
        </w:rPr>
      </w:pPr>
      <w:r w:rsidRPr="009F096E">
        <w:rPr>
          <w:rFonts w:eastAsia="Arial Unicode MS"/>
          <w:lang w:val="es-MX"/>
        </w:rPr>
        <w:t>Justifique y realice el análisis del currículo de Aprendizajes clave</w:t>
      </w:r>
      <w:r w:rsidR="009E4EE5" w:rsidRPr="009F096E">
        <w:rPr>
          <w:rFonts w:eastAsia="Arial Unicode MS"/>
          <w:lang w:val="es-MX"/>
        </w:rPr>
        <w:t xml:space="preserve"> en el eje de ubicación espacial y figuras y cuerpos geométricos</w:t>
      </w:r>
    </w:p>
    <w:p w14:paraId="6A05A809" w14:textId="77777777" w:rsidR="00D54B22" w:rsidRPr="009F096E" w:rsidRDefault="00D54B22" w:rsidP="009F096E">
      <w:pPr>
        <w:spacing w:line="276" w:lineRule="auto"/>
        <w:ind w:left="142"/>
        <w:jc w:val="center"/>
        <w:rPr>
          <w:rFonts w:eastAsia="Arial Unicode MS"/>
          <w:i/>
          <w:lang w:val="es-MX"/>
        </w:rPr>
      </w:pPr>
    </w:p>
    <w:p w14:paraId="07436600" w14:textId="5D308465" w:rsidR="009E4EE5" w:rsidRPr="009F096E" w:rsidRDefault="00FE0D17" w:rsidP="009F09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eastAsia="Arial Unicode MS"/>
          <w:iCs/>
          <w:color w:val="000000"/>
        </w:rPr>
      </w:pPr>
      <w:r w:rsidRPr="009F096E">
        <w:rPr>
          <w:rFonts w:eastAsia="Arial Unicode MS"/>
          <w:b/>
          <w:iCs/>
        </w:rPr>
        <w:t>COMPETENCIAS ESPERADAS DEL PERFIL DE EGRESO:</w:t>
      </w:r>
    </w:p>
    <w:p w14:paraId="5A39BBE3" w14:textId="77777777" w:rsidR="009E4EE5" w:rsidRPr="009F096E" w:rsidRDefault="009E4EE5" w:rsidP="009F09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eastAsia="Arial Unicode MS"/>
          <w:iCs/>
          <w:color w:val="000000"/>
        </w:rPr>
      </w:pPr>
    </w:p>
    <w:p w14:paraId="65F38FB7" w14:textId="72E201A9" w:rsidR="009E4EE5" w:rsidRDefault="009E4EE5" w:rsidP="009F096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  <w:r w:rsidRPr="009F096E">
        <w:rPr>
          <w:rStyle w:val="normaltextrun"/>
        </w:rPr>
        <w:t>Detecta los procesos de aprendizaje de sus alumnos para favorecer su desarrollo cognitivo y socioemocional.</w:t>
      </w:r>
    </w:p>
    <w:p w14:paraId="6366ACEC" w14:textId="77777777" w:rsidR="009F096E" w:rsidRPr="009F096E" w:rsidRDefault="009F096E" w:rsidP="009F096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</w:rPr>
      </w:pPr>
    </w:p>
    <w:p w14:paraId="7F4BEDBB" w14:textId="3AADD7C0" w:rsidR="009E4EE5" w:rsidRPr="009F096E" w:rsidRDefault="009E4EE5" w:rsidP="009F096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center"/>
        <w:textAlignment w:val="baseline"/>
      </w:pPr>
      <w:r w:rsidRPr="009F096E">
        <w:rPr>
          <w:rStyle w:val="normaltextrun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E27B00A" w14:textId="77777777" w:rsidR="00D54B22" w:rsidRPr="009F096E" w:rsidRDefault="00D54B22" w:rsidP="009F096E">
      <w:pPr>
        <w:widowControl w:val="0"/>
        <w:autoSpaceDE w:val="0"/>
        <w:autoSpaceDN w:val="0"/>
        <w:adjustRightInd w:val="0"/>
        <w:spacing w:after="240" w:line="276" w:lineRule="auto"/>
        <w:rPr>
          <w:b/>
          <w:i/>
          <w:lang w:val="es-MX"/>
        </w:rPr>
      </w:pPr>
    </w:p>
    <w:p w14:paraId="1E228DA1" w14:textId="3446FFBC" w:rsidR="00D54B22" w:rsidRPr="009F096E" w:rsidRDefault="00FE0D17" w:rsidP="009F09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/>
          <w:iCs/>
          <w:lang w:val="es-MX"/>
        </w:rPr>
      </w:pPr>
      <w:r w:rsidRPr="009F096E">
        <w:rPr>
          <w:b/>
          <w:iCs/>
          <w:lang w:val="es-MX"/>
        </w:rPr>
        <w:t>TEMA DEL TRABAJO PARA DESARROLLAR:</w:t>
      </w:r>
    </w:p>
    <w:p w14:paraId="29E2311D" w14:textId="394FD105" w:rsidR="009F096E" w:rsidRDefault="00D54B22" w:rsidP="009F09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  <w:r w:rsidRPr="009F096E">
        <w:rPr>
          <w:bCs/>
          <w:iCs/>
          <w:lang w:val="es-MX"/>
        </w:rPr>
        <w:t>MATRIZ ANALÍTICA DEL CURRICULO DE APRENDIZAJES CLAVE</w:t>
      </w:r>
    </w:p>
    <w:p w14:paraId="4612914C" w14:textId="7C58E996" w:rsidR="009910DC" w:rsidRPr="00056F2B" w:rsidRDefault="00295D35" w:rsidP="00295D35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/>
          <w:iCs/>
          <w:sz w:val="28"/>
          <w:szCs w:val="28"/>
          <w:lang w:val="es-MX"/>
        </w:rPr>
      </w:pPr>
      <w:r w:rsidRPr="00056F2B">
        <w:rPr>
          <w:b/>
          <w:iCs/>
          <w:sz w:val="28"/>
          <w:szCs w:val="28"/>
          <w:lang w:val="es-MX"/>
        </w:rPr>
        <w:lastRenderedPageBreak/>
        <w:t>INTRODUCCIÓN:</w:t>
      </w:r>
    </w:p>
    <w:p w14:paraId="7410E63A" w14:textId="0DC9B62C" w:rsidR="00844374" w:rsidRDefault="001D3C07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  <w:r>
        <w:rPr>
          <w:bCs/>
          <w:iCs/>
          <w:lang w:val="es-MX"/>
        </w:rPr>
        <w:t>La siguiente matriz analítica presenta los temas, nivel de profundidad, aprendizajes, saberes y haceres, enfocados en el campo de pensamiento matemático del programa de aprendizajes claves; específicamente, del eje de forma, espacio y medida</w:t>
      </w:r>
      <w:r w:rsidR="00295D35" w:rsidRPr="00295D35">
        <w:rPr>
          <w:b/>
          <w:bCs/>
          <w:lang w:val="es-MX"/>
        </w:rPr>
        <w:t xml:space="preserve"> </w:t>
      </w:r>
      <w:sdt>
        <w:sdtPr>
          <w:rPr>
            <w:b/>
            <w:bCs/>
            <w:lang w:val="es-MX"/>
          </w:rPr>
          <w:id w:val="1057439800"/>
          <w:citation/>
        </w:sdtPr>
        <w:sdtEndPr/>
        <w:sdtContent>
          <w:r w:rsidR="00295D35">
            <w:rPr>
              <w:b/>
              <w:bCs/>
              <w:lang w:val="es-MX"/>
            </w:rPr>
            <w:fldChar w:fldCharType="begin"/>
          </w:r>
          <w:r w:rsidR="00295D35">
            <w:rPr>
              <w:b/>
              <w:bCs/>
              <w:lang w:val="es-MX"/>
            </w:rPr>
            <w:instrText xml:space="preserve"> CITATION Sec17 \l 2058 </w:instrText>
          </w:r>
          <w:r w:rsidR="00295D35">
            <w:rPr>
              <w:b/>
              <w:bCs/>
              <w:lang w:val="es-MX"/>
            </w:rPr>
            <w:fldChar w:fldCharType="separate"/>
          </w:r>
          <w:r w:rsidR="00295D35" w:rsidRPr="00295D35">
            <w:rPr>
              <w:noProof/>
              <w:lang w:val="es-MX"/>
            </w:rPr>
            <w:t>(Secretaria de Educación Pública, 2017)</w:t>
          </w:r>
          <w:r w:rsidR="00295D35">
            <w:rPr>
              <w:b/>
              <w:bCs/>
              <w:lang w:val="es-MX"/>
            </w:rPr>
            <w:fldChar w:fldCharType="end"/>
          </w:r>
        </w:sdtContent>
      </w:sdt>
      <w:r>
        <w:rPr>
          <w:bCs/>
          <w:iCs/>
          <w:lang w:val="es-MX"/>
        </w:rPr>
        <w:t>. Para su elaboración se hizo un análisis del eje ya mencionado, identificando los puntos que se pedían en la matriz para ser colocados donde correspondían.</w:t>
      </w:r>
      <w:r w:rsidR="003E5457">
        <w:rPr>
          <w:bCs/>
          <w:iCs/>
          <w:lang w:val="es-MX"/>
        </w:rPr>
        <w:t xml:space="preserve"> </w:t>
      </w:r>
      <w:r>
        <w:rPr>
          <w:bCs/>
          <w:iCs/>
          <w:lang w:val="es-MX"/>
        </w:rPr>
        <w:t xml:space="preserve">La tabla tuvo dos momentos para revisión, siendo este el tercero y ultimo para </w:t>
      </w:r>
      <w:r w:rsidR="00223E81">
        <w:rPr>
          <w:bCs/>
          <w:iCs/>
          <w:lang w:val="es-MX"/>
        </w:rPr>
        <w:t>ser entregado como evidencia.</w:t>
      </w:r>
    </w:p>
    <w:p w14:paraId="0E5E63D8" w14:textId="2C81AF66" w:rsidR="003E5457" w:rsidRDefault="003E5457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  <w:r>
        <w:rPr>
          <w:bCs/>
          <w:iCs/>
          <w:lang w:val="es-MX"/>
        </w:rPr>
        <w:t xml:space="preserve">El propósito de la matriz es el de dar a conocer </w:t>
      </w:r>
      <w:r w:rsidR="006E19A1">
        <w:rPr>
          <w:bCs/>
          <w:iCs/>
          <w:lang w:val="es-MX"/>
        </w:rPr>
        <w:t>el programa de pensamiento matemático, de una forma ordenada, clara y concisa para un mejor entendimiento de este.</w:t>
      </w:r>
    </w:p>
    <w:p w14:paraId="6B9F0EEA" w14:textId="500C148D" w:rsidR="006E19A1" w:rsidRDefault="006E19A1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7A7D54A3" w14:textId="3524F53D" w:rsidR="006E19A1" w:rsidRDefault="006E19A1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65E10118" w14:textId="03F3F10E" w:rsidR="006E19A1" w:rsidRDefault="006E19A1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407358D0" w14:textId="2422FC48" w:rsidR="006E19A1" w:rsidRDefault="006E19A1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6D350C07" w14:textId="271B5963" w:rsidR="006E19A1" w:rsidRDefault="006E19A1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6BFEE49B" w14:textId="58FFA0B8" w:rsidR="003E5457" w:rsidRDefault="003E5457" w:rsidP="006E19A1">
      <w:pPr>
        <w:widowControl w:val="0"/>
        <w:autoSpaceDE w:val="0"/>
        <w:autoSpaceDN w:val="0"/>
        <w:adjustRightInd w:val="0"/>
        <w:spacing w:after="240" w:line="276" w:lineRule="auto"/>
        <w:rPr>
          <w:bCs/>
          <w:iCs/>
          <w:lang w:val="es-MX"/>
        </w:rPr>
      </w:pPr>
    </w:p>
    <w:p w14:paraId="61C59FCA" w14:textId="77777777" w:rsidR="006E19A1" w:rsidRDefault="006E19A1" w:rsidP="006E19A1">
      <w:pPr>
        <w:widowControl w:val="0"/>
        <w:autoSpaceDE w:val="0"/>
        <w:autoSpaceDN w:val="0"/>
        <w:adjustRightInd w:val="0"/>
        <w:spacing w:after="240" w:line="276" w:lineRule="auto"/>
        <w:rPr>
          <w:bCs/>
          <w:iCs/>
          <w:lang w:val="es-MX"/>
        </w:rPr>
      </w:pPr>
    </w:p>
    <w:p w14:paraId="68C89DE5" w14:textId="735E4F3A" w:rsidR="003E5457" w:rsidRDefault="003E5457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041259A3" w14:textId="4F05758A" w:rsidR="003E5457" w:rsidRDefault="003E5457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p w14:paraId="1F7B193C" w14:textId="77777777" w:rsidR="003E5457" w:rsidRPr="003E5457" w:rsidRDefault="003E5457" w:rsidP="003E545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</w:p>
    <w:tbl>
      <w:tblPr>
        <w:tblStyle w:val="Tablaconcuadrcula"/>
        <w:tblW w:w="16302" w:type="dxa"/>
        <w:tblInd w:w="-1139" w:type="dxa"/>
        <w:tblLook w:val="04A0" w:firstRow="1" w:lastRow="0" w:firstColumn="1" w:lastColumn="0" w:noHBand="0" w:noVBand="1"/>
      </w:tblPr>
      <w:tblGrid>
        <w:gridCol w:w="1237"/>
        <w:gridCol w:w="1903"/>
        <w:gridCol w:w="3239"/>
        <w:gridCol w:w="2693"/>
        <w:gridCol w:w="3544"/>
        <w:gridCol w:w="3686"/>
      </w:tblGrid>
      <w:tr w:rsidR="00844374" w14:paraId="73612FDC" w14:textId="68DE560C" w:rsidTr="00844374">
        <w:trPr>
          <w:trHeight w:val="465"/>
        </w:trPr>
        <w:tc>
          <w:tcPr>
            <w:tcW w:w="1237" w:type="dxa"/>
            <w:shd w:val="clear" w:color="auto" w:fill="F79646" w:themeFill="accent6"/>
          </w:tcPr>
          <w:p w14:paraId="110E7D57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  <w:p w14:paraId="205CF714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EJE</w:t>
            </w:r>
          </w:p>
          <w:p w14:paraId="240E6B7A" w14:textId="73EB2E52" w:rsidR="00844374" w:rsidRPr="00FE0D17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903" w:type="dxa"/>
            <w:shd w:val="clear" w:color="auto" w:fill="F79646" w:themeFill="accent6"/>
          </w:tcPr>
          <w:p w14:paraId="199ED851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  <w:p w14:paraId="14412D1B" w14:textId="297F7456" w:rsidR="00844374" w:rsidRPr="00FE0D17" w:rsidRDefault="00844374" w:rsidP="00295D35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TEMA</w:t>
            </w:r>
          </w:p>
        </w:tc>
        <w:tc>
          <w:tcPr>
            <w:tcW w:w="3239" w:type="dxa"/>
            <w:shd w:val="clear" w:color="auto" w:fill="F79646" w:themeFill="accent6"/>
          </w:tcPr>
          <w:p w14:paraId="4856646F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  <w:p w14:paraId="4B409E63" w14:textId="7150EB0E" w:rsidR="00844374" w:rsidRPr="00FE0D17" w:rsidRDefault="00844374" w:rsidP="00295D35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NIVEL DE PROFUNDIDAD</w:t>
            </w:r>
          </w:p>
        </w:tc>
        <w:tc>
          <w:tcPr>
            <w:tcW w:w="2693" w:type="dxa"/>
            <w:shd w:val="clear" w:color="auto" w:fill="F79646" w:themeFill="accent6"/>
          </w:tcPr>
          <w:p w14:paraId="313C6228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  <w:p w14:paraId="32C5FAE3" w14:textId="7DDD636E" w:rsidR="00844374" w:rsidRPr="00FE0D17" w:rsidRDefault="00844374" w:rsidP="00295D35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APRENDIZAJE</w:t>
            </w:r>
          </w:p>
        </w:tc>
        <w:tc>
          <w:tcPr>
            <w:tcW w:w="3544" w:type="dxa"/>
            <w:shd w:val="clear" w:color="auto" w:fill="F79646" w:themeFill="accent6"/>
          </w:tcPr>
          <w:p w14:paraId="153715AC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  <w:p w14:paraId="640BCEE2" w14:textId="77777777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¿QUÉ DEBEN SABER?</w:t>
            </w:r>
          </w:p>
          <w:p w14:paraId="2FBB433A" w14:textId="298B676F" w:rsidR="00844374" w:rsidRPr="00FE0D17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686" w:type="dxa"/>
            <w:shd w:val="clear" w:color="auto" w:fill="F79646" w:themeFill="accent6"/>
          </w:tcPr>
          <w:p w14:paraId="2EAB00F8" w14:textId="31186221" w:rsidR="00844374" w:rsidRDefault="00844374" w:rsidP="00295D35">
            <w:pPr>
              <w:jc w:val="center"/>
              <w:rPr>
                <w:b/>
                <w:bCs/>
                <w:lang w:val="es-MX"/>
              </w:rPr>
            </w:pPr>
          </w:p>
          <w:p w14:paraId="4C79BFC5" w14:textId="7D472D8A" w:rsidR="00844374" w:rsidRPr="00FE0D17" w:rsidRDefault="00844374" w:rsidP="00295D35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¿QUÉ DEBEN HACER</w:t>
            </w:r>
          </w:p>
        </w:tc>
      </w:tr>
      <w:tr w:rsidR="00844374" w14:paraId="1299C43A" w14:textId="427925EE" w:rsidTr="00844374">
        <w:trPr>
          <w:trHeight w:val="363"/>
        </w:trPr>
        <w:tc>
          <w:tcPr>
            <w:tcW w:w="1237" w:type="dxa"/>
            <w:vMerge w:val="restart"/>
            <w:shd w:val="clear" w:color="auto" w:fill="FABF8F" w:themeFill="accent6" w:themeFillTint="99"/>
          </w:tcPr>
          <w:p w14:paraId="25AA4C41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48FFAF52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5221AA8B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228AAB62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1AE4F325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690C284E" w14:textId="77777777" w:rsidR="00844374" w:rsidRPr="009910DC" w:rsidRDefault="00844374" w:rsidP="00295D35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7D9E9D88" w14:textId="77777777" w:rsidR="00844374" w:rsidRPr="009910DC" w:rsidRDefault="00844374" w:rsidP="00295D35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6A3AF686" w14:textId="77777777" w:rsidR="00844374" w:rsidRPr="009910DC" w:rsidRDefault="00844374" w:rsidP="00295D35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5947D772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4DDBEF00" w14:textId="488E32B0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9910DC">
              <w:rPr>
                <w:b/>
                <w:bCs/>
                <w:sz w:val="22"/>
                <w:szCs w:val="22"/>
                <w:lang w:val="es-MX"/>
              </w:rPr>
              <w:t>FORMA, ESPACIO Y MEDIDA.</w:t>
            </w:r>
          </w:p>
        </w:tc>
        <w:tc>
          <w:tcPr>
            <w:tcW w:w="1903" w:type="dxa"/>
            <w:shd w:val="clear" w:color="auto" w:fill="FBD4B4" w:themeFill="accent6" w:themeFillTint="66"/>
          </w:tcPr>
          <w:p w14:paraId="3351E913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5EA0F113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341CD078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35B32DEC" w14:textId="77777777" w:rsidR="00844374" w:rsidRPr="009910DC" w:rsidRDefault="00844374" w:rsidP="00295D35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3461D779" w14:textId="0D6F43F3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9910DC">
              <w:rPr>
                <w:b/>
                <w:bCs/>
                <w:sz w:val="22"/>
                <w:szCs w:val="22"/>
                <w:lang w:val="es-MX"/>
              </w:rPr>
              <w:t>UBICACIÓN ESPACIAL</w:t>
            </w:r>
          </w:p>
        </w:tc>
        <w:tc>
          <w:tcPr>
            <w:tcW w:w="3239" w:type="dxa"/>
          </w:tcPr>
          <w:p w14:paraId="3CB3B807" w14:textId="77777777" w:rsidR="002443DE" w:rsidRDefault="002443DE" w:rsidP="00295D35">
            <w:pPr>
              <w:rPr>
                <w:lang w:val="es-MX"/>
              </w:rPr>
            </w:pPr>
          </w:p>
          <w:p w14:paraId="3CF2D8B6" w14:textId="4EF233A2" w:rsidR="00844374" w:rsidRDefault="00844374" w:rsidP="00295D35">
            <w:pPr>
              <w:rPr>
                <w:lang w:val="es-MX"/>
              </w:rPr>
            </w:pPr>
            <w:r>
              <w:rPr>
                <w:lang w:val="es-MX"/>
              </w:rPr>
              <w:t xml:space="preserve">Los niños comenzaran a construir puntos de referencia para identificar el espacio que existe entre distintos objetos. Teniendo dominado esto, se le introducirá al desplazamiento utilizando instrucciones, ya sea orales o graficas para llegar a un punto especifico. </w:t>
            </w:r>
          </w:p>
        </w:tc>
        <w:tc>
          <w:tcPr>
            <w:tcW w:w="2693" w:type="dxa"/>
          </w:tcPr>
          <w:p w14:paraId="5000EF89" w14:textId="77777777" w:rsidR="002443DE" w:rsidRDefault="002443DE" w:rsidP="00295D35">
            <w:pPr>
              <w:rPr>
                <w:b/>
                <w:bCs/>
                <w:lang w:val="es-MX"/>
              </w:rPr>
            </w:pPr>
          </w:p>
          <w:p w14:paraId="2710B6F6" w14:textId="5B7FC6F8" w:rsidR="00844374" w:rsidRPr="006A4381" w:rsidRDefault="00844374" w:rsidP="00295D35">
            <w:pPr>
              <w:rPr>
                <w:b/>
                <w:bCs/>
                <w:lang w:val="es-MX"/>
              </w:rPr>
            </w:pPr>
            <w:r w:rsidRPr="006A4381">
              <w:rPr>
                <w:b/>
                <w:bCs/>
                <w:lang w:val="es-MX"/>
              </w:rPr>
              <w:t>“</w:t>
            </w:r>
            <w:r w:rsidRPr="00626DB7">
              <w:rPr>
                <w:b/>
                <w:bCs/>
                <w:color w:val="E36C0A" w:themeColor="accent6" w:themeShade="BF"/>
                <w:lang w:val="es-MX"/>
              </w:rPr>
              <w:t>Ubica</w:t>
            </w:r>
            <w:r w:rsidRPr="00C508EA">
              <w:rPr>
                <w:lang w:val="es-MX"/>
              </w:rPr>
              <w:t xml:space="preserve"> objetos y lugares cuya ubicación desconoce, mediante la interpretación de relaciones espaciales y puntos de referencia.</w:t>
            </w:r>
            <w:r>
              <w:rPr>
                <w:b/>
                <w:bCs/>
                <w:lang w:val="es-MX"/>
              </w:rPr>
              <w:t>”</w:t>
            </w:r>
          </w:p>
          <w:p w14:paraId="0FB78278" w14:textId="6808722A" w:rsidR="00844374" w:rsidRDefault="00844374" w:rsidP="00295D35">
            <w:pPr>
              <w:rPr>
                <w:lang w:val="es-MX"/>
              </w:rPr>
            </w:pPr>
          </w:p>
        </w:tc>
        <w:tc>
          <w:tcPr>
            <w:tcW w:w="3544" w:type="dxa"/>
          </w:tcPr>
          <w:p w14:paraId="2E96F8BB" w14:textId="2E7BD650" w:rsidR="00844374" w:rsidRPr="002443DE" w:rsidRDefault="002443DE" w:rsidP="00315DDC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2443DE">
              <w:rPr>
                <w:b/>
                <w:bCs/>
                <w:lang w:val="es-MX"/>
              </w:rPr>
              <w:t>“</w:t>
            </w:r>
            <w:r w:rsidR="00844374" w:rsidRPr="00C04E18">
              <w:rPr>
                <w:b/>
                <w:bCs/>
                <w:color w:val="E36C0A" w:themeColor="accent6" w:themeShade="BF"/>
                <w:lang w:val="es-MX"/>
              </w:rPr>
              <w:t>Comunicar</w:t>
            </w:r>
            <w:r w:rsidR="00315DDC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Pr="002443DE">
              <w:rPr>
                <w:b/>
                <w:bCs/>
                <w:color w:val="E36C0A" w:themeColor="accent6" w:themeShade="BF"/>
                <w:lang w:val="es-MX"/>
              </w:rPr>
              <w:t>en forma oral</w:t>
            </w:r>
            <w:r w:rsidRPr="002443DE">
              <w:rPr>
                <w:color w:val="E36C0A" w:themeColor="accent6" w:themeShade="BF"/>
                <w:lang w:val="es-MX"/>
              </w:rPr>
              <w:t xml:space="preserve"> </w:t>
            </w:r>
            <w:r>
              <w:rPr>
                <w:lang w:val="es-MX"/>
              </w:rPr>
              <w:t xml:space="preserve">la posición de un objeto usando puntos de referencia y relaciones espaciales para que otros lo encuentren. </w:t>
            </w:r>
          </w:p>
          <w:p w14:paraId="4A3DBB49" w14:textId="5249946E" w:rsidR="00844374" w:rsidRPr="002443DE" w:rsidRDefault="00844374" w:rsidP="00315DDC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Representar</w:t>
            </w:r>
            <w:r w:rsidR="00315DDC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="00315DDC">
              <w:rPr>
                <w:lang w:val="es-MX"/>
              </w:rPr>
              <w:t>gráficamente de</w:t>
            </w:r>
            <w:r w:rsidRPr="00C04E18">
              <w:rPr>
                <w:lang w:val="es-MX"/>
              </w:rPr>
              <w:t>splazamientos y trayectorias.</w:t>
            </w:r>
            <w:r w:rsidR="002443DE">
              <w:rPr>
                <w:b/>
                <w:bCs/>
                <w:lang w:val="es-MX"/>
              </w:rPr>
              <w:t>”</w:t>
            </w:r>
          </w:p>
          <w:p w14:paraId="1FC39945" w14:textId="04B478D9" w:rsidR="00844374" w:rsidRDefault="00844374" w:rsidP="00295D35">
            <w:pPr>
              <w:rPr>
                <w:lang w:val="es-MX"/>
              </w:rPr>
            </w:pPr>
          </w:p>
        </w:tc>
        <w:tc>
          <w:tcPr>
            <w:tcW w:w="3686" w:type="dxa"/>
          </w:tcPr>
          <w:p w14:paraId="1D41D10A" w14:textId="403EA0EE" w:rsidR="00844374" w:rsidRPr="00315DDC" w:rsidRDefault="003116CF" w:rsidP="00315DDC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3116CF">
              <w:rPr>
                <w:b/>
                <w:bCs/>
                <w:lang w:val="es-MX"/>
              </w:rPr>
              <w:t>“</w:t>
            </w:r>
            <w:r w:rsidR="00844374" w:rsidRPr="00C04E18">
              <w:rPr>
                <w:b/>
                <w:bCs/>
                <w:color w:val="E36C0A" w:themeColor="accent6" w:themeShade="BF"/>
                <w:lang w:val="es-MX"/>
              </w:rPr>
              <w:t>Encontrar</w:t>
            </w:r>
            <w:r w:rsidR="00315DDC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="00315DDC">
              <w:rPr>
                <w:lang w:val="es-MX"/>
              </w:rPr>
              <w:t>objetos que se desconoce dónde están y ejecutar desplazamientos para llegar a un lugar, siguiendo instrucciones que implican el uso de puntos de referencia y las relaciones espaciales.</w:t>
            </w:r>
          </w:p>
          <w:p w14:paraId="0562CB0E" w14:textId="38E77498" w:rsidR="00844374" w:rsidRPr="002443DE" w:rsidRDefault="00844374" w:rsidP="002443DE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Ordenar</w:t>
            </w:r>
            <w:r w:rsidR="00315DDC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="00315DDC">
              <w:rPr>
                <w:lang w:val="es-MX"/>
              </w:rPr>
              <w:t>ac</w:t>
            </w:r>
            <w:r w:rsidRPr="00C04E18">
              <w:rPr>
                <w:lang w:val="es-MX"/>
              </w:rPr>
              <w:t>tividades</w:t>
            </w:r>
            <w:r>
              <w:rPr>
                <w:lang w:val="es-MX"/>
              </w:rPr>
              <w:t xml:space="preserve"> </w:t>
            </w:r>
            <w:r w:rsidR="00315DDC">
              <w:rPr>
                <w:lang w:val="es-MX"/>
              </w:rPr>
              <w:t>de arriba hacia abajo en una columna en función del tiempo de un día. Organizar el tiempo de una semana y un mes en una tabla, registrando eventos que son familiares e identificando secuencias y repetición de sucesos.</w:t>
            </w:r>
            <w:r w:rsidR="00315DDC">
              <w:rPr>
                <w:b/>
                <w:bCs/>
                <w:lang w:val="es-MX"/>
              </w:rPr>
              <w:t>”</w:t>
            </w:r>
          </w:p>
        </w:tc>
      </w:tr>
      <w:tr w:rsidR="00844374" w14:paraId="34CE0A41" w14:textId="6E4BDF49" w:rsidTr="00844374">
        <w:trPr>
          <w:trHeight w:val="363"/>
        </w:trPr>
        <w:tc>
          <w:tcPr>
            <w:tcW w:w="1237" w:type="dxa"/>
            <w:vMerge/>
            <w:shd w:val="clear" w:color="auto" w:fill="FABF8F" w:themeFill="accent6" w:themeFillTint="99"/>
          </w:tcPr>
          <w:p w14:paraId="62EBF3C5" w14:textId="77777777" w:rsidR="00844374" w:rsidRPr="009910DC" w:rsidRDefault="00844374" w:rsidP="00295D35">
            <w:pPr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1903" w:type="dxa"/>
            <w:shd w:val="clear" w:color="auto" w:fill="FBD4B4" w:themeFill="accent6" w:themeFillTint="66"/>
          </w:tcPr>
          <w:p w14:paraId="36A0A919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7FFBA988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47ED9887" w14:textId="74A3DB16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4D18DF2A" w14:textId="77777777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6D98A12B" w14:textId="0AFA0933" w:rsidR="00844374" w:rsidRPr="009910DC" w:rsidRDefault="00844374" w:rsidP="00295D35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9910DC">
              <w:rPr>
                <w:b/>
                <w:bCs/>
                <w:sz w:val="22"/>
                <w:szCs w:val="22"/>
                <w:lang w:val="es-MX"/>
              </w:rPr>
              <w:t>FIGURAS Y CUERPOS GEOMÉTRICOS</w:t>
            </w:r>
          </w:p>
        </w:tc>
        <w:tc>
          <w:tcPr>
            <w:tcW w:w="3239" w:type="dxa"/>
          </w:tcPr>
          <w:p w14:paraId="1F3A221D" w14:textId="340CB1D5" w:rsidR="00844374" w:rsidRDefault="00844374" w:rsidP="00295D35">
            <w:pPr>
              <w:rPr>
                <w:lang w:val="es-MX"/>
              </w:rPr>
            </w:pPr>
            <w:r>
              <w:rPr>
                <w:lang w:val="es-MX"/>
              </w:rPr>
              <w:t xml:space="preserve">Uno de los objetivos es desarrollar en el niño su percepción geométrica. En base a las figuras geométricas identificando semejanzas, diferencia y nombres. Podrá utilizar rompecabezas (imágenes, tangram, cuadros bicolores) para reproducir un modelo de manera individual o por instrucciones. </w:t>
            </w:r>
          </w:p>
          <w:p w14:paraId="2946DB82" w14:textId="03DBB84D" w:rsidR="00844374" w:rsidRDefault="00844374" w:rsidP="00295D35">
            <w:pPr>
              <w:rPr>
                <w:lang w:val="es-MX"/>
              </w:rPr>
            </w:pPr>
          </w:p>
        </w:tc>
        <w:tc>
          <w:tcPr>
            <w:tcW w:w="2693" w:type="dxa"/>
          </w:tcPr>
          <w:p w14:paraId="01EE3F24" w14:textId="77777777" w:rsidR="00844374" w:rsidRDefault="00844374" w:rsidP="00295D35">
            <w:pPr>
              <w:rPr>
                <w:lang w:val="es-MX"/>
              </w:rPr>
            </w:pPr>
          </w:p>
          <w:p w14:paraId="055EC66E" w14:textId="7226F487" w:rsidR="00844374" w:rsidRPr="002443DE" w:rsidRDefault="00844374" w:rsidP="00295D35">
            <w:pPr>
              <w:rPr>
                <w:b/>
                <w:bCs/>
                <w:lang w:val="es-MX"/>
              </w:rPr>
            </w:pPr>
            <w:r w:rsidRPr="006A4381">
              <w:rPr>
                <w:b/>
                <w:bCs/>
                <w:lang w:val="es-MX"/>
              </w:rPr>
              <w:t>“</w:t>
            </w:r>
            <w:r w:rsidRPr="00626DB7">
              <w:rPr>
                <w:b/>
                <w:bCs/>
                <w:color w:val="E36C0A" w:themeColor="accent6" w:themeShade="BF"/>
                <w:lang w:val="es-MX"/>
              </w:rPr>
              <w:t>Reproduce</w:t>
            </w:r>
            <w:r w:rsidRPr="00C508EA">
              <w:rPr>
                <w:lang w:val="es-MX"/>
              </w:rPr>
              <w:t xml:space="preserve"> modelos con formas, figuras y cuerpos geométricos.</w:t>
            </w:r>
          </w:p>
          <w:p w14:paraId="5997CC1D" w14:textId="2685618D" w:rsidR="00844374" w:rsidRPr="006A4381" w:rsidRDefault="00844374" w:rsidP="00295D35">
            <w:pPr>
              <w:rPr>
                <w:b/>
                <w:bCs/>
                <w:lang w:val="es-MX"/>
              </w:rPr>
            </w:pPr>
            <w:r w:rsidRPr="00626DB7">
              <w:rPr>
                <w:b/>
                <w:bCs/>
                <w:color w:val="E36C0A" w:themeColor="accent6" w:themeShade="BF"/>
                <w:lang w:val="es-MX"/>
              </w:rPr>
              <w:t>Construye</w:t>
            </w:r>
            <w:r w:rsidRPr="00626DB7">
              <w:rPr>
                <w:b/>
                <w:bCs/>
                <w:lang w:val="es-MX"/>
              </w:rPr>
              <w:t xml:space="preserve"> </w:t>
            </w:r>
            <w:r w:rsidRPr="00C508EA">
              <w:rPr>
                <w:lang w:val="es-MX"/>
              </w:rPr>
              <w:t>configuraciones con formas, figuras y cuerpos geométricos</w:t>
            </w:r>
            <w:r>
              <w:rPr>
                <w:lang w:val="es-MX"/>
              </w:rPr>
              <w:t>.</w:t>
            </w:r>
            <w:r>
              <w:rPr>
                <w:b/>
                <w:bCs/>
                <w:lang w:val="es-MX"/>
              </w:rPr>
              <w:t>”</w:t>
            </w:r>
          </w:p>
        </w:tc>
        <w:tc>
          <w:tcPr>
            <w:tcW w:w="3544" w:type="dxa"/>
          </w:tcPr>
          <w:p w14:paraId="75180912" w14:textId="37221F81" w:rsidR="00844374" w:rsidRPr="009A77B2" w:rsidRDefault="002443DE" w:rsidP="009A77B2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2443DE">
              <w:rPr>
                <w:b/>
                <w:bCs/>
                <w:lang w:val="es-MX"/>
              </w:rPr>
              <w:t>“</w:t>
            </w:r>
            <w:r w:rsidR="00844374" w:rsidRPr="00EB7882">
              <w:rPr>
                <w:b/>
                <w:bCs/>
                <w:color w:val="E36C0A" w:themeColor="accent6" w:themeShade="BF"/>
                <w:lang w:val="es-MX"/>
              </w:rPr>
              <w:t>Identifica</w:t>
            </w:r>
            <w:r w:rsidR="009A77B2">
              <w:rPr>
                <w:b/>
                <w:bCs/>
                <w:color w:val="E36C0A" w:themeColor="accent6" w:themeShade="BF"/>
                <w:lang w:val="es-MX"/>
              </w:rPr>
              <w:t xml:space="preserve">r </w:t>
            </w:r>
            <w:r w:rsidR="009A77B2">
              <w:rPr>
                <w:lang w:val="es-MX"/>
              </w:rPr>
              <w:t>c</w:t>
            </w:r>
            <w:r w:rsidR="00844374" w:rsidRPr="00C04E18">
              <w:rPr>
                <w:lang w:val="es-MX"/>
              </w:rPr>
              <w:t xml:space="preserve">aracterísticas </w:t>
            </w:r>
            <w:r w:rsidR="009A77B2">
              <w:rPr>
                <w:lang w:val="es-MX"/>
              </w:rPr>
              <w:t xml:space="preserve">y propiedades de figuras geométricas y establecer semejanzas y diferencias entre figuras y cuerpos geométricos al trabajar con ellos. </w:t>
            </w:r>
          </w:p>
          <w:p w14:paraId="110FFD37" w14:textId="7F895295" w:rsidR="00844374" w:rsidRPr="002443DE" w:rsidRDefault="00844374" w:rsidP="002443DE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EB7882">
              <w:rPr>
                <w:b/>
                <w:bCs/>
                <w:color w:val="E36C0A" w:themeColor="accent6" w:themeShade="BF"/>
                <w:lang w:val="es-MX"/>
              </w:rPr>
              <w:t>Reconocer</w:t>
            </w:r>
            <w:r w:rsidR="009A77B2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="009A77B2">
              <w:rPr>
                <w:lang w:val="es-MX"/>
              </w:rPr>
              <w:t>algunas fi</w:t>
            </w:r>
            <w:r w:rsidRPr="00C04E18">
              <w:rPr>
                <w:lang w:val="es-MX"/>
              </w:rPr>
              <w:t xml:space="preserve">guras geométricas </w:t>
            </w:r>
            <w:r w:rsidR="009A77B2">
              <w:rPr>
                <w:lang w:val="es-MX"/>
              </w:rPr>
              <w:t xml:space="preserve">(cuadrado, rectángulo, rombo, romboide, triangulo, </w:t>
            </w:r>
            <w:r w:rsidR="002443DE">
              <w:rPr>
                <w:lang w:val="es-MX"/>
              </w:rPr>
              <w:t>pentágono, hexágono) en objetos.</w:t>
            </w:r>
            <w:r w:rsidR="002443DE">
              <w:rPr>
                <w:b/>
                <w:bCs/>
                <w:lang w:val="es-MX"/>
              </w:rPr>
              <w:t>”</w:t>
            </w:r>
          </w:p>
        </w:tc>
        <w:tc>
          <w:tcPr>
            <w:tcW w:w="3686" w:type="dxa"/>
          </w:tcPr>
          <w:p w14:paraId="1D3E3C5F" w14:textId="69D8832B" w:rsidR="00844374" w:rsidRPr="003116CF" w:rsidRDefault="009A77B2" w:rsidP="003116CF">
            <w:pPr>
              <w:rPr>
                <w:b/>
                <w:bCs/>
                <w:color w:val="E36C0A" w:themeColor="accent6" w:themeShade="BF"/>
                <w:lang w:val="es-MX"/>
              </w:rPr>
            </w:pPr>
            <w:r w:rsidRPr="009A77B2">
              <w:rPr>
                <w:b/>
                <w:bCs/>
                <w:lang w:val="es-MX"/>
              </w:rPr>
              <w:t>“</w:t>
            </w:r>
            <w:r w:rsidR="00844374" w:rsidRPr="00EB7882">
              <w:rPr>
                <w:b/>
                <w:bCs/>
                <w:color w:val="E36C0A" w:themeColor="accent6" w:themeShade="BF"/>
                <w:lang w:val="es-MX"/>
              </w:rPr>
              <w:t>Resolver</w:t>
            </w:r>
            <w:r w:rsidR="003116CF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="003116CF">
              <w:rPr>
                <w:lang w:val="es-MX"/>
              </w:rPr>
              <w:t>r</w:t>
            </w:r>
            <w:r w:rsidR="00844374" w:rsidRPr="00C04E18">
              <w:rPr>
                <w:lang w:val="es-MX"/>
              </w:rPr>
              <w:t>ompecabezas</w:t>
            </w:r>
            <w:r w:rsidR="003116CF">
              <w:rPr>
                <w:lang w:val="es-MX"/>
              </w:rPr>
              <w:t xml:space="preserve"> y trabajar libremente con el tangram y con cuadrados bicolores a partir de un modelo.</w:t>
            </w:r>
          </w:p>
          <w:p w14:paraId="6B699379" w14:textId="78FBE607" w:rsidR="00844374" w:rsidRPr="009A77B2" w:rsidRDefault="00844374" w:rsidP="003116CF">
            <w:pPr>
              <w:rPr>
                <w:b/>
                <w:bCs/>
                <w:lang w:val="es-MX"/>
              </w:rPr>
            </w:pPr>
            <w:r w:rsidRPr="00EB7882">
              <w:rPr>
                <w:b/>
                <w:bCs/>
                <w:color w:val="E36C0A" w:themeColor="accent6" w:themeShade="BF"/>
                <w:lang w:val="es-MX"/>
              </w:rPr>
              <w:t>Reproducir</w:t>
            </w:r>
            <w:r>
              <w:rPr>
                <w:b/>
                <w:bCs/>
                <w:color w:val="E36C0A" w:themeColor="accent6" w:themeShade="BF"/>
                <w:lang w:val="es-MX"/>
              </w:rPr>
              <w:t xml:space="preserve"> y c</w:t>
            </w:r>
            <w:r w:rsidRPr="00EB7882">
              <w:rPr>
                <w:b/>
                <w:bCs/>
                <w:color w:val="E36C0A" w:themeColor="accent6" w:themeShade="BF"/>
                <w:lang w:val="es-MX"/>
              </w:rPr>
              <w:t>onstruir</w:t>
            </w:r>
            <w:r w:rsidR="003116CF">
              <w:rPr>
                <w:b/>
                <w:bCs/>
                <w:color w:val="E36C0A" w:themeColor="accent6" w:themeShade="BF"/>
                <w:lang w:val="es-MX"/>
              </w:rPr>
              <w:t xml:space="preserve"> </w:t>
            </w:r>
            <w:r w:rsidR="003116CF">
              <w:rPr>
                <w:lang w:val="es-MX"/>
              </w:rPr>
              <w:t>c</w:t>
            </w:r>
            <w:r>
              <w:rPr>
                <w:lang w:val="es-MX"/>
              </w:rPr>
              <w:t>o</w:t>
            </w:r>
            <w:r w:rsidRPr="00C04E18">
              <w:rPr>
                <w:lang w:val="es-MX"/>
              </w:rPr>
              <w:t xml:space="preserve">nfiguraciones </w:t>
            </w:r>
            <w:r w:rsidR="003116CF">
              <w:rPr>
                <w:lang w:val="es-MX"/>
              </w:rPr>
              <w:t>a partir de un modelo utilizando diversas figuras geométricas (polígonos regulares, polígonos irregulares y no polígono)</w:t>
            </w:r>
            <w:r w:rsidR="009A77B2">
              <w:rPr>
                <w:lang w:val="es-MX"/>
              </w:rPr>
              <w:t>.</w:t>
            </w:r>
            <w:r w:rsidR="009A77B2">
              <w:rPr>
                <w:b/>
                <w:bCs/>
                <w:lang w:val="es-MX"/>
              </w:rPr>
              <w:t>”</w:t>
            </w:r>
          </w:p>
        </w:tc>
      </w:tr>
    </w:tbl>
    <w:p w14:paraId="2783BEF7" w14:textId="1BB61003" w:rsidR="00844374" w:rsidRPr="002443DE" w:rsidRDefault="00844374" w:rsidP="002443DE">
      <w:pPr>
        <w:tabs>
          <w:tab w:val="center" w:pos="7002"/>
          <w:tab w:val="left" w:pos="8341"/>
        </w:tabs>
        <w:rPr>
          <w:b/>
          <w:bCs/>
          <w:lang w:val="es-MX"/>
        </w:rPr>
      </w:pPr>
    </w:p>
    <w:p w14:paraId="6EBB8A19" w14:textId="77777777" w:rsidR="00844374" w:rsidRDefault="00844374" w:rsidP="00844374">
      <w:pPr>
        <w:tabs>
          <w:tab w:val="center" w:pos="7002"/>
          <w:tab w:val="left" w:pos="8341"/>
        </w:tabs>
        <w:jc w:val="center"/>
        <w:rPr>
          <w:b/>
          <w:bCs/>
          <w:sz w:val="28"/>
          <w:szCs w:val="28"/>
          <w:lang w:val="es-MX"/>
        </w:rPr>
      </w:pPr>
    </w:p>
    <w:p w14:paraId="44B1CCFE" w14:textId="77777777" w:rsidR="00844374" w:rsidRDefault="00844374" w:rsidP="00844374">
      <w:pPr>
        <w:tabs>
          <w:tab w:val="center" w:pos="7002"/>
          <w:tab w:val="left" w:pos="8341"/>
        </w:tabs>
        <w:jc w:val="center"/>
        <w:rPr>
          <w:b/>
          <w:bCs/>
          <w:sz w:val="28"/>
          <w:szCs w:val="28"/>
          <w:lang w:val="es-MX"/>
        </w:rPr>
      </w:pPr>
    </w:p>
    <w:p w14:paraId="3B7B4B86" w14:textId="2BADC6D6" w:rsidR="00434323" w:rsidRPr="00056F2B" w:rsidRDefault="00295D35" w:rsidP="00844374">
      <w:pPr>
        <w:tabs>
          <w:tab w:val="center" w:pos="7002"/>
          <w:tab w:val="left" w:pos="8341"/>
        </w:tabs>
        <w:jc w:val="center"/>
        <w:rPr>
          <w:b/>
          <w:bCs/>
          <w:sz w:val="28"/>
          <w:szCs w:val="28"/>
          <w:lang w:val="es-MX"/>
        </w:rPr>
      </w:pPr>
      <w:r w:rsidRPr="00056F2B">
        <w:rPr>
          <w:b/>
          <w:bCs/>
          <w:sz w:val="28"/>
          <w:szCs w:val="28"/>
          <w:lang w:val="es-MX"/>
        </w:rPr>
        <w:t>CONCLUSION:</w:t>
      </w:r>
    </w:p>
    <w:p w14:paraId="0254CF08" w14:textId="0DB643A9" w:rsidR="00295D35" w:rsidRDefault="00370C3E" w:rsidP="00370C3E">
      <w:pPr>
        <w:tabs>
          <w:tab w:val="center" w:pos="7002"/>
          <w:tab w:val="left" w:pos="8341"/>
        </w:tabs>
        <w:rPr>
          <w:lang w:val="es-MX"/>
        </w:rPr>
      </w:pPr>
      <w:r>
        <w:rPr>
          <w:lang w:val="es-MX"/>
        </w:rPr>
        <w:t xml:space="preserve">Por medio de la matriz realizada, pude comprender que busca enseñar y desarrollar en los niños el eje de forma, espacio y medida, la importancia que tiene la ubicación espacial para lograr identificar puntos de referencia, llevando a los niños a escuchar y dar instrucciones para guiarse a sí mismos o a sus compañeros para realizar desplazamientos. Además, de como los rompecabezas ayudaran a la reproducción de modelos, identificando al </w:t>
      </w:r>
      <w:r w:rsidR="00032DB9">
        <w:rPr>
          <w:lang w:val="es-MX"/>
        </w:rPr>
        <w:t>mismo tiempo</w:t>
      </w:r>
      <w:r>
        <w:rPr>
          <w:lang w:val="es-MX"/>
        </w:rPr>
        <w:t xml:space="preserve"> alguna semejanza o diferencia que exista entre cada figura </w:t>
      </w:r>
      <w:r w:rsidR="00032DB9">
        <w:rPr>
          <w:lang w:val="es-MX"/>
        </w:rPr>
        <w:t>geométrica que</w:t>
      </w:r>
      <w:r>
        <w:rPr>
          <w:lang w:val="es-MX"/>
        </w:rPr>
        <w:t xml:space="preserve"> se le presente</w:t>
      </w:r>
      <w:r w:rsidR="00032DB9">
        <w:rPr>
          <w:lang w:val="es-MX"/>
        </w:rPr>
        <w:t>.</w:t>
      </w:r>
    </w:p>
    <w:p w14:paraId="5740777A" w14:textId="7312952A" w:rsidR="00032DB9" w:rsidRDefault="00032DB9" w:rsidP="00032DB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t>A mi punto de vista, logre cumplir con el aprendizaje esperado al hacer el análisis del apartado de aprendizajes en el que me base, además de desarrollar la competencia “</w:t>
      </w:r>
      <w:r w:rsidRPr="009F096E">
        <w:rPr>
          <w:rStyle w:val="normaltextrun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>
        <w:rPr>
          <w:rStyle w:val="normaltextrun"/>
        </w:rPr>
        <w:t xml:space="preserve">” al ordenar la información recabada en la tabla. </w:t>
      </w:r>
    </w:p>
    <w:p w14:paraId="2AF16797" w14:textId="2A0EB9E4" w:rsidR="00032DB9" w:rsidRPr="009F096E" w:rsidRDefault="00032DB9" w:rsidP="00032DB9">
      <w:pPr>
        <w:pStyle w:val="paragraph"/>
        <w:spacing w:before="0" w:beforeAutospacing="0" w:after="0" w:afterAutospacing="0" w:line="276" w:lineRule="auto"/>
        <w:textAlignment w:val="baseline"/>
      </w:pPr>
      <w:r>
        <w:rPr>
          <w:rStyle w:val="normaltextrun"/>
        </w:rPr>
        <w:t xml:space="preserve">Pienso que la geometría en preescolar es muy importante ya que permitirá que el niño desarrolle conceptos y conocimiento para realizar distintas actividades que formaran parte de du día a día. </w:t>
      </w:r>
    </w:p>
    <w:p w14:paraId="6142A91A" w14:textId="5F3470F0" w:rsidR="00295D35" w:rsidRPr="00032DB9" w:rsidRDefault="00295D35" w:rsidP="00032DB9">
      <w:pPr>
        <w:tabs>
          <w:tab w:val="center" w:pos="7002"/>
          <w:tab w:val="left" w:pos="8341"/>
        </w:tabs>
        <w:rPr>
          <w:lang w:val="es-MX"/>
        </w:rPr>
      </w:pPr>
    </w:p>
    <w:p w14:paraId="186FA4F6" w14:textId="77777777" w:rsidR="00295D35" w:rsidRDefault="00295D35" w:rsidP="00295D35">
      <w:pPr>
        <w:tabs>
          <w:tab w:val="center" w:pos="7002"/>
          <w:tab w:val="left" w:pos="8341"/>
        </w:tabs>
        <w:jc w:val="center"/>
        <w:rPr>
          <w:b/>
          <w:bCs/>
          <w:lang w:val="es-MX"/>
        </w:rPr>
      </w:pPr>
    </w:p>
    <w:p w14:paraId="56A9C65E" w14:textId="4A2BDAC4" w:rsidR="00295D35" w:rsidRDefault="00295D35" w:rsidP="00295D35">
      <w:pPr>
        <w:jc w:val="center"/>
        <w:rPr>
          <w:b/>
          <w:bCs/>
          <w:lang w:val="es-MX"/>
        </w:rPr>
      </w:pPr>
    </w:p>
    <w:p w14:paraId="2041A138" w14:textId="3942E42E" w:rsidR="00295D35" w:rsidRDefault="00295D35" w:rsidP="00032DB9">
      <w:pPr>
        <w:rPr>
          <w:b/>
          <w:bCs/>
          <w:lang w:val="es-MX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758450559"/>
        <w:docPartObj>
          <w:docPartGallery w:val="Bibliographies"/>
          <w:docPartUnique/>
        </w:docPartObj>
      </w:sdtPr>
      <w:sdtEndPr/>
      <w:sdtContent>
        <w:p w14:paraId="10D29978" w14:textId="148201D5" w:rsidR="00295D35" w:rsidRDefault="00004BBA" w:rsidP="00004BBA">
          <w:pPr>
            <w:pStyle w:val="Ttulo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es-ES"/>
            </w:rPr>
          </w:pPr>
          <w:r w:rsidRPr="00004BB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es-ES"/>
            </w:rPr>
            <w:t>BIBLIOGRAFÍA</w:t>
          </w:r>
        </w:p>
        <w:p w14:paraId="5A8CFC01" w14:textId="77777777" w:rsidR="00004BBA" w:rsidRPr="00004BBA" w:rsidRDefault="00004BBA" w:rsidP="00004BBA">
          <w:pPr>
            <w:rPr>
              <w:lang w:eastAsia="es-MX"/>
            </w:rPr>
          </w:pPr>
        </w:p>
        <w:sdt>
          <w:sdtPr>
            <w:id w:val="111145805"/>
            <w:bibliography/>
          </w:sdtPr>
          <w:sdtEndPr/>
          <w:sdtContent>
            <w:p w14:paraId="645754E4" w14:textId="77777777" w:rsidR="00295D35" w:rsidRPr="00295D35" w:rsidRDefault="00295D35" w:rsidP="00004BBA">
              <w:pPr>
                <w:pStyle w:val="Bibliografa"/>
                <w:ind w:left="720" w:hanging="720"/>
                <w:jc w:val="center"/>
                <w:rPr>
                  <w:noProof/>
                </w:rPr>
              </w:pPr>
              <w:r w:rsidRPr="00295D35">
                <w:fldChar w:fldCharType="begin"/>
              </w:r>
              <w:r w:rsidRPr="00295D35">
                <w:instrText>BIBLIOGRAPHY</w:instrText>
              </w:r>
              <w:r w:rsidRPr="00295D35">
                <w:fldChar w:fldCharType="separate"/>
              </w:r>
              <w:r w:rsidRPr="00295D35">
                <w:rPr>
                  <w:noProof/>
                </w:rPr>
                <w:t xml:space="preserve">Secretaria de Educación Pública. (2017). </w:t>
              </w:r>
              <w:r w:rsidRPr="00295D35">
                <w:rPr>
                  <w:i/>
                  <w:iCs/>
                  <w:noProof/>
                </w:rPr>
                <w:t>Aprendizajes clave para la educación integral .</w:t>
              </w:r>
              <w:r w:rsidRPr="00295D35">
                <w:rPr>
                  <w:noProof/>
                </w:rPr>
                <w:t xml:space="preserve"> Ciudad de México .</w:t>
              </w:r>
            </w:p>
            <w:p w14:paraId="7A5645F1" w14:textId="531CBD04" w:rsidR="00295D35" w:rsidRPr="00295D35" w:rsidRDefault="00295D35" w:rsidP="00295D35">
              <w:r w:rsidRPr="00295D35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87BC36A" w14:textId="2F04736E" w:rsidR="00295D35" w:rsidRDefault="00295D35" w:rsidP="00032DB9">
      <w:pPr>
        <w:rPr>
          <w:b/>
          <w:bCs/>
          <w:lang w:val="es-MX"/>
        </w:rPr>
      </w:pPr>
    </w:p>
    <w:p w14:paraId="58CD1D19" w14:textId="4FE235A0" w:rsidR="00295D35" w:rsidRDefault="00295D35" w:rsidP="00295D35">
      <w:pPr>
        <w:jc w:val="center"/>
        <w:rPr>
          <w:b/>
          <w:bCs/>
          <w:lang w:val="es-MX"/>
        </w:rPr>
      </w:pPr>
    </w:p>
    <w:p w14:paraId="34302A65" w14:textId="36D7346A" w:rsidR="00295D35" w:rsidRDefault="00295D35" w:rsidP="00295D35">
      <w:pPr>
        <w:jc w:val="center"/>
        <w:rPr>
          <w:b/>
          <w:bCs/>
          <w:lang w:val="es-MX"/>
        </w:rPr>
      </w:pPr>
    </w:p>
    <w:p w14:paraId="63D19185" w14:textId="26CD55B1" w:rsidR="00295D35" w:rsidRDefault="00295D35" w:rsidP="00056F2B">
      <w:pPr>
        <w:rPr>
          <w:b/>
          <w:bCs/>
          <w:lang w:val="es-MX"/>
        </w:rPr>
      </w:pPr>
    </w:p>
    <w:p w14:paraId="2E5D1EE6" w14:textId="77777777" w:rsidR="00056F2B" w:rsidRDefault="00056F2B" w:rsidP="00056F2B">
      <w:pPr>
        <w:rPr>
          <w:b/>
          <w:bCs/>
          <w:lang w:val="es-MX"/>
        </w:rPr>
      </w:pPr>
    </w:p>
    <w:p w14:paraId="1C207BBD" w14:textId="2537BB22" w:rsidR="00295D35" w:rsidRDefault="00295D35" w:rsidP="00295D35">
      <w:pPr>
        <w:jc w:val="center"/>
        <w:rPr>
          <w:b/>
          <w:bCs/>
          <w:lang w:val="es-MX"/>
        </w:rPr>
      </w:pPr>
    </w:p>
    <w:p w14:paraId="3A0FF5F2" w14:textId="221591A7" w:rsidR="00434323" w:rsidRDefault="00434323" w:rsidP="00295D35">
      <w:pPr>
        <w:rPr>
          <w:lang w:val="es-MX"/>
        </w:rPr>
      </w:pPr>
    </w:p>
    <w:p w14:paraId="5630AD66" w14:textId="11435A6C" w:rsidR="00434323" w:rsidRDefault="00434323" w:rsidP="00434323">
      <w:pPr>
        <w:jc w:val="center"/>
        <w:rPr>
          <w:lang w:val="es-MX"/>
        </w:rPr>
      </w:pPr>
    </w:p>
    <w:p w14:paraId="538FC2EB" w14:textId="19C144F7" w:rsidR="00434323" w:rsidRPr="00FE0D17" w:rsidRDefault="00EE17DC" w:rsidP="00434323">
      <w:pPr>
        <w:jc w:val="center"/>
        <w:rPr>
          <w:b/>
          <w:bCs/>
          <w:lang w:val="es-MX"/>
        </w:rPr>
      </w:pPr>
      <w:r w:rsidRPr="00FE0D17">
        <w:rPr>
          <w:b/>
          <w:bCs/>
          <w:lang w:val="es-MX"/>
        </w:rPr>
        <w:t>RUBRICA DE E</w:t>
      </w:r>
      <w:r w:rsidR="00434323" w:rsidRPr="00FE0D17">
        <w:rPr>
          <w:b/>
          <w:bCs/>
          <w:lang w:val="es-MX"/>
        </w:rPr>
        <w:t>VALUACIÓN</w:t>
      </w:r>
    </w:p>
    <w:p w14:paraId="315E045E" w14:textId="555841C3" w:rsidR="00FE0D17" w:rsidRPr="00FE0D17" w:rsidRDefault="00FE0D17">
      <w:pPr>
        <w:rPr>
          <w:b/>
          <w:bCs/>
          <w:lang w:val="es-MX"/>
        </w:rPr>
      </w:pPr>
    </w:p>
    <w:p w14:paraId="1704C315" w14:textId="60ED2FD5" w:rsidR="00FE0D17" w:rsidRDefault="00FE0D17">
      <w:pPr>
        <w:rPr>
          <w:lang w:val="es-MX"/>
        </w:rPr>
      </w:pPr>
    </w:p>
    <w:p w14:paraId="5F4F3B60" w14:textId="35DFAF3B" w:rsidR="00FE0D17" w:rsidRDefault="00295D35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EB716D1" wp14:editId="615238A8">
            <wp:simplePos x="0" y="0"/>
            <wp:positionH relativeFrom="margin">
              <wp:align>right</wp:align>
            </wp:positionH>
            <wp:positionV relativeFrom="paragraph">
              <wp:posOffset>10147</wp:posOffset>
            </wp:positionV>
            <wp:extent cx="8559455" cy="5617028"/>
            <wp:effectExtent l="0" t="0" r="0" b="317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8559455" cy="56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EA084" w14:textId="32F7F787" w:rsidR="00FE0D17" w:rsidRDefault="00FE0D17">
      <w:pPr>
        <w:rPr>
          <w:lang w:val="es-MX"/>
        </w:rPr>
      </w:pPr>
    </w:p>
    <w:p w14:paraId="7EA568E6" w14:textId="1161FB5A" w:rsidR="00FE0D17" w:rsidRDefault="00FE0D17">
      <w:pPr>
        <w:rPr>
          <w:lang w:val="es-MX"/>
        </w:rPr>
      </w:pPr>
    </w:p>
    <w:p w14:paraId="2CD585EE" w14:textId="71AE2A3E" w:rsidR="00FE0D17" w:rsidRDefault="00FE0D17">
      <w:pPr>
        <w:rPr>
          <w:lang w:val="es-MX"/>
        </w:rPr>
      </w:pPr>
    </w:p>
    <w:p w14:paraId="41B3964F" w14:textId="77777777" w:rsidR="00FE0D17" w:rsidRDefault="00FE0D17">
      <w:pPr>
        <w:rPr>
          <w:lang w:val="es-MX"/>
        </w:rPr>
      </w:pPr>
    </w:p>
    <w:p w14:paraId="3162E80A" w14:textId="77777777" w:rsidR="00FE0D17" w:rsidRDefault="00FE0D17">
      <w:pPr>
        <w:rPr>
          <w:lang w:val="es-MX"/>
        </w:rPr>
      </w:pPr>
    </w:p>
    <w:p w14:paraId="7541C7B4" w14:textId="77777777" w:rsidR="00FE0D17" w:rsidRDefault="00FE0D17">
      <w:pPr>
        <w:rPr>
          <w:lang w:val="es-MX"/>
        </w:rPr>
      </w:pPr>
    </w:p>
    <w:p w14:paraId="7EBF891A" w14:textId="77777777" w:rsidR="00FE0D17" w:rsidRDefault="00FE0D17">
      <w:pPr>
        <w:rPr>
          <w:lang w:val="es-MX"/>
        </w:rPr>
      </w:pPr>
    </w:p>
    <w:p w14:paraId="13E00A4C" w14:textId="1F58B094" w:rsidR="00FE0D17" w:rsidRDefault="00FE0D17">
      <w:pPr>
        <w:rPr>
          <w:lang w:val="es-MX"/>
        </w:rPr>
      </w:pPr>
    </w:p>
    <w:p w14:paraId="023BC7DC" w14:textId="77777777" w:rsidR="00FE0D17" w:rsidRDefault="00FE0D17">
      <w:pPr>
        <w:rPr>
          <w:lang w:val="es-MX"/>
        </w:rPr>
      </w:pPr>
    </w:p>
    <w:p w14:paraId="206ABC26" w14:textId="77777777" w:rsidR="00FE0D17" w:rsidRDefault="00FE0D17">
      <w:pPr>
        <w:rPr>
          <w:lang w:val="es-MX"/>
        </w:rPr>
      </w:pPr>
    </w:p>
    <w:p w14:paraId="353D70B4" w14:textId="77777777" w:rsidR="00FE0D17" w:rsidRDefault="00FE0D17">
      <w:pPr>
        <w:rPr>
          <w:lang w:val="es-MX"/>
        </w:rPr>
      </w:pPr>
    </w:p>
    <w:p w14:paraId="1728EA03" w14:textId="1416FC88" w:rsidR="00FE0D17" w:rsidRDefault="00FE0D17">
      <w:pPr>
        <w:rPr>
          <w:lang w:val="es-MX"/>
        </w:rPr>
      </w:pPr>
    </w:p>
    <w:p w14:paraId="5B3E620E" w14:textId="77777777" w:rsidR="00FE0D17" w:rsidRDefault="00FE0D17">
      <w:pPr>
        <w:rPr>
          <w:lang w:val="es-MX"/>
        </w:rPr>
      </w:pPr>
    </w:p>
    <w:p w14:paraId="7A0718F0" w14:textId="77777777" w:rsidR="00FE0D17" w:rsidRDefault="00FE0D17">
      <w:pPr>
        <w:rPr>
          <w:lang w:val="es-MX"/>
        </w:rPr>
      </w:pPr>
    </w:p>
    <w:p w14:paraId="3130622A" w14:textId="77777777" w:rsidR="00FE0D17" w:rsidRDefault="00FE0D17">
      <w:pPr>
        <w:rPr>
          <w:lang w:val="es-MX"/>
        </w:rPr>
      </w:pPr>
    </w:p>
    <w:p w14:paraId="3C8C82C2" w14:textId="77777777" w:rsidR="00FE0D17" w:rsidRDefault="00FE0D17">
      <w:pPr>
        <w:rPr>
          <w:lang w:val="es-MX"/>
        </w:rPr>
      </w:pPr>
    </w:p>
    <w:p w14:paraId="737D2791" w14:textId="01714AE0" w:rsidR="00FE0D17" w:rsidRDefault="00FE0D17">
      <w:pPr>
        <w:rPr>
          <w:lang w:val="es-MX"/>
        </w:rPr>
      </w:pPr>
    </w:p>
    <w:p w14:paraId="72522473" w14:textId="3D888407" w:rsidR="00C508EA" w:rsidRDefault="00C508EA">
      <w:pPr>
        <w:rPr>
          <w:lang w:val="es-MX"/>
        </w:rPr>
      </w:pPr>
    </w:p>
    <w:p w14:paraId="393DE70C" w14:textId="16D57D6C" w:rsidR="00C508EA" w:rsidRDefault="00C508EA">
      <w:pPr>
        <w:rPr>
          <w:lang w:val="es-MX"/>
        </w:rPr>
      </w:pPr>
    </w:p>
    <w:p w14:paraId="17394558" w14:textId="77777777" w:rsidR="00C508EA" w:rsidRDefault="00C508EA">
      <w:pPr>
        <w:rPr>
          <w:lang w:val="es-MX"/>
        </w:rPr>
      </w:pPr>
    </w:p>
    <w:p w14:paraId="4654EA14" w14:textId="118107D2" w:rsidR="00FE0D17" w:rsidRDefault="00FE0D17">
      <w:pPr>
        <w:rPr>
          <w:lang w:val="es-MX"/>
        </w:rPr>
      </w:pPr>
    </w:p>
    <w:p w14:paraId="61829076" w14:textId="25B834C6" w:rsidR="00434323" w:rsidRPr="00295D35" w:rsidRDefault="00434323" w:rsidP="00056F2B">
      <w:pPr>
        <w:rPr>
          <w:b/>
          <w:bCs/>
          <w:sz w:val="28"/>
          <w:szCs w:val="28"/>
          <w:lang w:val="es-MX"/>
        </w:rPr>
      </w:pPr>
    </w:p>
    <w:sectPr w:rsidR="00434323" w:rsidRPr="00295D35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A3B"/>
    <w:multiLevelType w:val="hybridMultilevel"/>
    <w:tmpl w:val="0A4A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7B6E"/>
    <w:multiLevelType w:val="hybridMultilevel"/>
    <w:tmpl w:val="966C21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A7693"/>
    <w:multiLevelType w:val="hybridMultilevel"/>
    <w:tmpl w:val="F9E68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72675"/>
    <w:multiLevelType w:val="hybridMultilevel"/>
    <w:tmpl w:val="02FA78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5B19E9"/>
    <w:multiLevelType w:val="hybridMultilevel"/>
    <w:tmpl w:val="47B685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B0B7F"/>
    <w:multiLevelType w:val="hybridMultilevel"/>
    <w:tmpl w:val="4D80AA9C"/>
    <w:lvl w:ilvl="0" w:tplc="9F309E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049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3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B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8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26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6E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6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04BBA"/>
    <w:rsid w:val="00032DB9"/>
    <w:rsid w:val="00056F2B"/>
    <w:rsid w:val="00075048"/>
    <w:rsid w:val="0016777A"/>
    <w:rsid w:val="001B6164"/>
    <w:rsid w:val="001D3C07"/>
    <w:rsid w:val="001E544D"/>
    <w:rsid w:val="00217F76"/>
    <w:rsid w:val="00223E81"/>
    <w:rsid w:val="002443DE"/>
    <w:rsid w:val="00295D35"/>
    <w:rsid w:val="002C7E0C"/>
    <w:rsid w:val="003116CF"/>
    <w:rsid w:val="00315DDC"/>
    <w:rsid w:val="00370C3E"/>
    <w:rsid w:val="003E1C7E"/>
    <w:rsid w:val="003E5457"/>
    <w:rsid w:val="004231E6"/>
    <w:rsid w:val="00434323"/>
    <w:rsid w:val="004A75E9"/>
    <w:rsid w:val="006267F3"/>
    <w:rsid w:val="00626DB7"/>
    <w:rsid w:val="00684DE8"/>
    <w:rsid w:val="006A4381"/>
    <w:rsid w:val="006E19A1"/>
    <w:rsid w:val="00844374"/>
    <w:rsid w:val="00924492"/>
    <w:rsid w:val="009514DF"/>
    <w:rsid w:val="009910DC"/>
    <w:rsid w:val="009A77B2"/>
    <w:rsid w:val="009C324C"/>
    <w:rsid w:val="009E4EE5"/>
    <w:rsid w:val="009F096E"/>
    <w:rsid w:val="00A139FA"/>
    <w:rsid w:val="00C04E18"/>
    <w:rsid w:val="00C508EA"/>
    <w:rsid w:val="00D54B22"/>
    <w:rsid w:val="00EB7882"/>
    <w:rsid w:val="00EE17DC"/>
    <w:rsid w:val="00FE0D17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D3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paragraph" w:styleId="Prrafodelista">
    <w:name w:val="List Paragraph"/>
    <w:basedOn w:val="Normal"/>
    <w:uiPriority w:val="34"/>
    <w:qFormat/>
    <w:rsid w:val="00A139F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95D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29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Book</b:SourceType>
    <b:Guid>{309EA6AA-6112-4762-AE39-9DAFA3EE7214}</b:Guid>
    <b:Author>
      <b:Author>
        <b:Corporate>Secretaria de Educación Pública</b:Corporate>
      </b:Author>
    </b:Author>
    <b:Title>Aprendizajes clave para la educación integral </b:Title>
    <b:Year>2017</b:Year>
    <b:City>Ciudad de México </b:City>
    <b:RefOrder>1</b:RefOrder>
  </b:Source>
</b:Sources>
</file>

<file path=customXml/itemProps1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67A94-F4A1-4FBB-B6BE-85F3E66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5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AulaDigital</dc:creator>
  <cp:lastModifiedBy>TAMARA GUADALUPE SANSORES ROBLES</cp:lastModifiedBy>
  <cp:revision>9</cp:revision>
  <dcterms:created xsi:type="dcterms:W3CDTF">2022-02-23T00:40:00Z</dcterms:created>
  <dcterms:modified xsi:type="dcterms:W3CDTF">2022-03-01T12:56:00Z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