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0115" w14:textId="77777777" w:rsidR="00D54B22" w:rsidRPr="00A9662D" w:rsidRDefault="00D54B22" w:rsidP="00A9662D">
      <w:pPr>
        <w:ind w:left="142"/>
        <w:jc w:val="center"/>
        <w:rPr>
          <w:rFonts w:ascii="Arial" w:eastAsia="Arial Unicode MS" w:hAnsi="Arial" w:cs="Arial"/>
          <w:bCs/>
          <w:iCs/>
          <w:color w:val="FF0000"/>
          <w:sz w:val="32"/>
          <w:szCs w:val="32"/>
          <w:lang w:val="es-MX"/>
        </w:rPr>
      </w:pPr>
      <w:r w:rsidRPr="00A9662D">
        <w:rPr>
          <w:rFonts w:ascii="Arial" w:eastAsia="Arial Unicode MS" w:hAnsi="Arial" w:cs="Arial"/>
          <w:bCs/>
          <w:iCs/>
          <w:color w:val="FF0000"/>
          <w:sz w:val="32"/>
          <w:szCs w:val="32"/>
          <w:lang w:val="es-MX"/>
        </w:rPr>
        <w:t>ESCUELA NORMAL DE EDUCACIÓN PREESCOLAR</w:t>
      </w:r>
    </w:p>
    <w:p w14:paraId="672A6659" w14:textId="77777777" w:rsidR="00D54B22" w:rsidRPr="00A9662D" w:rsidRDefault="00D54B22" w:rsidP="00A9662D">
      <w:pPr>
        <w:ind w:left="142"/>
        <w:jc w:val="center"/>
        <w:rPr>
          <w:rFonts w:ascii="Arial" w:eastAsia="Arial Unicode MS" w:hAnsi="Arial" w:cs="Arial"/>
          <w:bCs/>
          <w:iCs/>
          <w:lang w:val="es-MX"/>
        </w:rPr>
      </w:pPr>
    </w:p>
    <w:p w14:paraId="4CF426D8" w14:textId="77777777" w:rsidR="00A9662D" w:rsidRPr="00A9662D" w:rsidRDefault="00A9662D" w:rsidP="00A9662D">
      <w:pPr>
        <w:ind w:left="142"/>
        <w:jc w:val="center"/>
        <w:rPr>
          <w:rFonts w:ascii="Arial" w:eastAsia="Arial Unicode MS" w:hAnsi="Arial" w:cs="Arial"/>
          <w:bCs/>
          <w:iCs/>
          <w:sz w:val="48"/>
          <w:szCs w:val="48"/>
          <w:u w:val="single"/>
          <w:lang w:val="es-MX"/>
        </w:rPr>
      </w:pPr>
      <w:r w:rsidRPr="00A9662D">
        <w:rPr>
          <w:rFonts w:ascii="Arial" w:eastAsia="Arial Unicode MS" w:hAnsi="Arial" w:cs="Arial"/>
          <w:bCs/>
          <w:iCs/>
          <w:sz w:val="48"/>
          <w:szCs w:val="48"/>
          <w:u w:val="single"/>
          <w:lang w:val="es-MX"/>
        </w:rPr>
        <w:t>FORMA ESPACIO Y MEDIDA</w:t>
      </w:r>
    </w:p>
    <w:p w14:paraId="0D957CD3" w14:textId="77777777" w:rsidR="00A9662D" w:rsidRDefault="00A9662D" w:rsidP="00A9662D">
      <w:pPr>
        <w:ind w:left="142"/>
        <w:jc w:val="center"/>
        <w:rPr>
          <w:rFonts w:ascii="Arial" w:eastAsia="Arial Unicode MS" w:hAnsi="Arial" w:cs="Arial"/>
          <w:bCs/>
          <w:iCs/>
          <w:lang w:val="es-MX"/>
        </w:rPr>
      </w:pPr>
    </w:p>
    <w:p w14:paraId="1919AB79" w14:textId="77777777" w:rsidR="00A9662D" w:rsidRDefault="00A9662D" w:rsidP="00A9662D">
      <w:pPr>
        <w:ind w:left="142"/>
        <w:jc w:val="center"/>
        <w:rPr>
          <w:rFonts w:ascii="Arial" w:eastAsia="Arial Unicode MS" w:hAnsi="Arial" w:cs="Arial"/>
          <w:bCs/>
          <w:iCs/>
          <w:lang w:val="es-MX"/>
        </w:rPr>
      </w:pPr>
    </w:p>
    <w:p w14:paraId="49297768" w14:textId="41108932" w:rsidR="00A9662D" w:rsidRPr="00A9662D" w:rsidRDefault="00A9662D" w:rsidP="00A9662D">
      <w:pPr>
        <w:ind w:left="142"/>
        <w:jc w:val="center"/>
        <w:rPr>
          <w:rFonts w:ascii="Arial" w:eastAsia="Arial Unicode MS" w:hAnsi="Arial" w:cs="Arial"/>
          <w:bCs/>
          <w:iCs/>
          <w:sz w:val="28"/>
          <w:szCs w:val="28"/>
          <w:lang w:val="es-MX"/>
        </w:rPr>
      </w:pPr>
      <w:r w:rsidRPr="00A9662D">
        <w:rPr>
          <w:rFonts w:ascii="Arial" w:eastAsia="Arial Unicode MS" w:hAnsi="Arial" w:cs="Arial"/>
          <w:bCs/>
          <w:iCs/>
          <w:sz w:val="28"/>
          <w:szCs w:val="28"/>
          <w:u w:val="single"/>
          <w:lang w:val="es-MX"/>
        </w:rPr>
        <w:t>Docente</w:t>
      </w:r>
      <w:r w:rsidRPr="00A9662D">
        <w:rPr>
          <w:rFonts w:ascii="Arial" w:eastAsia="Arial Unicode MS" w:hAnsi="Arial" w:cs="Arial"/>
          <w:bCs/>
          <w:iCs/>
          <w:sz w:val="28"/>
          <w:szCs w:val="28"/>
          <w:lang w:val="es-MX"/>
        </w:rPr>
        <w:t xml:space="preserve">: María Teresa Cerda </w:t>
      </w:r>
      <w:proofErr w:type="spellStart"/>
      <w:r w:rsidRPr="00A9662D">
        <w:rPr>
          <w:rFonts w:ascii="Arial" w:eastAsia="Arial Unicode MS" w:hAnsi="Arial" w:cs="Arial"/>
          <w:bCs/>
          <w:iCs/>
          <w:sz w:val="28"/>
          <w:szCs w:val="28"/>
          <w:lang w:val="es-MX"/>
        </w:rPr>
        <w:t>Orocio</w:t>
      </w:r>
      <w:proofErr w:type="spellEnd"/>
      <w:r w:rsidRPr="00A9662D">
        <w:rPr>
          <w:rFonts w:ascii="Arial" w:eastAsia="Arial Unicode MS" w:hAnsi="Arial" w:cs="Arial"/>
          <w:bCs/>
          <w:iCs/>
          <w:sz w:val="28"/>
          <w:szCs w:val="28"/>
          <w:lang w:val="es-MX"/>
        </w:rPr>
        <w:t xml:space="preserve"> </w:t>
      </w:r>
    </w:p>
    <w:p w14:paraId="6BC708B9" w14:textId="59830CC2" w:rsidR="00D54B22" w:rsidRPr="00A9662D" w:rsidRDefault="00A9662D" w:rsidP="00A9662D">
      <w:pPr>
        <w:ind w:left="142"/>
        <w:jc w:val="center"/>
        <w:rPr>
          <w:rFonts w:ascii="Arial" w:eastAsia="Arial Unicode MS" w:hAnsi="Arial" w:cs="Arial"/>
          <w:bCs/>
          <w:iCs/>
          <w:sz w:val="28"/>
          <w:szCs w:val="28"/>
          <w:lang w:val="es-MX"/>
        </w:rPr>
      </w:pPr>
      <w:r w:rsidRPr="00A9662D">
        <w:rPr>
          <w:rFonts w:ascii="Arial" w:eastAsia="Arial Unicode MS" w:hAnsi="Arial" w:cs="Arial"/>
          <w:bCs/>
          <w:iCs/>
          <w:sz w:val="28"/>
          <w:szCs w:val="28"/>
          <w:u w:val="single"/>
          <w:lang w:val="es-MX"/>
        </w:rPr>
        <w:t>Alumna</w:t>
      </w:r>
      <w:r w:rsidRPr="00A9662D">
        <w:rPr>
          <w:rFonts w:ascii="Arial" w:eastAsia="Arial Unicode MS" w:hAnsi="Arial" w:cs="Arial"/>
          <w:bCs/>
          <w:iCs/>
          <w:sz w:val="28"/>
          <w:szCs w:val="28"/>
          <w:lang w:val="es-MX"/>
        </w:rPr>
        <w:t xml:space="preserve">: Monserrath Valdez Ríos </w:t>
      </w:r>
    </w:p>
    <w:p w14:paraId="79C993B6" w14:textId="77777777" w:rsidR="00A9662D" w:rsidRPr="00A9662D" w:rsidRDefault="00A9662D" w:rsidP="00A9662D">
      <w:pPr>
        <w:ind w:left="142"/>
        <w:jc w:val="center"/>
        <w:rPr>
          <w:rFonts w:ascii="Arial" w:eastAsia="Arial Unicode MS" w:hAnsi="Arial" w:cs="Arial"/>
          <w:bCs/>
          <w:iCs/>
          <w:sz w:val="28"/>
          <w:szCs w:val="28"/>
          <w:lang w:val="es-MX"/>
        </w:rPr>
      </w:pPr>
    </w:p>
    <w:p w14:paraId="739A5170" w14:textId="5453E35A" w:rsidR="00A9662D" w:rsidRPr="00A9662D" w:rsidRDefault="00A9662D" w:rsidP="00A9662D">
      <w:pPr>
        <w:ind w:left="142"/>
        <w:jc w:val="center"/>
        <w:rPr>
          <w:rFonts w:ascii="Arial" w:eastAsia="Arial Unicode MS" w:hAnsi="Arial" w:cs="Arial"/>
          <w:bCs/>
          <w:iCs/>
          <w:sz w:val="28"/>
          <w:szCs w:val="28"/>
          <w:lang w:val="es-MX"/>
        </w:rPr>
      </w:pPr>
      <w:r w:rsidRPr="00A9662D">
        <w:rPr>
          <w:rFonts w:ascii="Arial" w:eastAsia="Arial Unicode MS" w:hAnsi="Arial" w:cs="Arial"/>
          <w:bCs/>
          <w:iCs/>
          <w:sz w:val="28"/>
          <w:szCs w:val="28"/>
          <w:lang w:val="es-MX"/>
        </w:rPr>
        <w:t>#22 2|D</w:t>
      </w:r>
    </w:p>
    <w:p w14:paraId="6750F142" w14:textId="25020D19" w:rsidR="00A9662D" w:rsidRPr="00A9662D" w:rsidRDefault="00A9662D" w:rsidP="00A9662D">
      <w:pPr>
        <w:ind w:left="142"/>
        <w:jc w:val="center"/>
        <w:rPr>
          <w:rFonts w:ascii="Arial" w:eastAsia="Arial Unicode MS" w:hAnsi="Arial" w:cs="Arial"/>
          <w:bCs/>
          <w:iCs/>
          <w:sz w:val="28"/>
          <w:szCs w:val="28"/>
          <w:lang w:val="es-MX"/>
        </w:rPr>
      </w:pPr>
      <w:r w:rsidRPr="00A9662D">
        <w:rPr>
          <w:rFonts w:ascii="Arial" w:eastAsia="Arial Unicode MS" w:hAnsi="Arial" w:cs="Arial"/>
          <w:bCs/>
          <w:iCs/>
          <w:sz w:val="28"/>
          <w:szCs w:val="28"/>
          <w:lang w:val="es-MX"/>
        </w:rPr>
        <w:t>22/02/22</w:t>
      </w:r>
    </w:p>
    <w:p w14:paraId="0ED661BA" w14:textId="77777777" w:rsidR="00A9662D" w:rsidRPr="00A9662D" w:rsidRDefault="00A9662D" w:rsidP="00A9662D">
      <w:pPr>
        <w:jc w:val="center"/>
        <w:rPr>
          <w:rFonts w:ascii="Arial" w:eastAsia="Arial Unicode MS" w:hAnsi="Arial" w:cs="Arial"/>
          <w:bCs/>
          <w:iCs/>
          <w:sz w:val="28"/>
          <w:szCs w:val="28"/>
          <w:lang w:val="es-MX"/>
        </w:rPr>
      </w:pPr>
    </w:p>
    <w:p w14:paraId="0A37501D" w14:textId="77777777" w:rsidR="00D54B22" w:rsidRPr="00A9662D" w:rsidRDefault="00D54B22" w:rsidP="00A9662D">
      <w:pPr>
        <w:ind w:left="142"/>
        <w:jc w:val="center"/>
        <w:rPr>
          <w:rFonts w:ascii="Arial" w:eastAsia="Arial Unicode MS" w:hAnsi="Arial" w:cs="Arial"/>
          <w:bCs/>
          <w:iCs/>
          <w:sz w:val="28"/>
          <w:szCs w:val="28"/>
          <w:lang w:val="es-MX"/>
        </w:rPr>
      </w:pPr>
    </w:p>
    <w:p w14:paraId="3E7FC0FF" w14:textId="6D1D7B06" w:rsidR="00D54B22" w:rsidRPr="00A9662D" w:rsidRDefault="00D54B22" w:rsidP="00A9662D">
      <w:pPr>
        <w:ind w:left="142"/>
        <w:jc w:val="center"/>
        <w:rPr>
          <w:rFonts w:ascii="Arial" w:eastAsia="Arial Unicode MS" w:hAnsi="Arial" w:cs="Arial"/>
          <w:bCs/>
          <w:iCs/>
          <w:sz w:val="28"/>
          <w:szCs w:val="28"/>
          <w:lang w:val="es-MX"/>
        </w:rPr>
      </w:pPr>
      <w:r w:rsidRPr="00A9662D">
        <w:rPr>
          <w:rFonts w:ascii="Arial" w:eastAsia="Arial Unicode MS" w:hAnsi="Arial" w:cs="Arial"/>
          <w:bCs/>
          <w:iCs/>
          <w:sz w:val="28"/>
          <w:szCs w:val="28"/>
          <w:lang w:val="es-MX"/>
        </w:rPr>
        <w:t>Unidad:</w:t>
      </w:r>
      <w:r w:rsidR="00A9662D">
        <w:rPr>
          <w:rFonts w:ascii="Arial" w:eastAsia="Arial Unicode MS" w:hAnsi="Arial" w:cs="Arial"/>
          <w:bCs/>
          <w:iCs/>
          <w:sz w:val="28"/>
          <w:szCs w:val="28"/>
          <w:lang w:val="es-MX"/>
        </w:rPr>
        <w:t xml:space="preserve"> I</w:t>
      </w:r>
    </w:p>
    <w:p w14:paraId="3070385F" w14:textId="6EE3042A" w:rsidR="00D54B22" w:rsidRPr="00A9662D" w:rsidRDefault="00D54B22" w:rsidP="00A9662D">
      <w:pPr>
        <w:autoSpaceDE w:val="0"/>
        <w:autoSpaceDN w:val="0"/>
        <w:adjustRightInd w:val="0"/>
        <w:rPr>
          <w:rFonts w:ascii="Arial" w:eastAsia="Arial Unicode MS" w:hAnsi="Arial" w:cs="Arial"/>
          <w:bCs/>
          <w:iCs/>
          <w:sz w:val="28"/>
          <w:szCs w:val="28"/>
        </w:rPr>
      </w:pPr>
      <w:r w:rsidRPr="00A9662D">
        <w:rPr>
          <w:rFonts w:ascii="Arial" w:eastAsia="Arial Unicode MS" w:hAnsi="Arial" w:cs="Arial"/>
          <w:bCs/>
          <w:iCs/>
          <w:sz w:val="28"/>
          <w:szCs w:val="28"/>
          <w:lang w:val="es-MX"/>
        </w:rPr>
        <w:t>:</w:t>
      </w:r>
    </w:p>
    <w:p w14:paraId="29D6B04F" w14:textId="5F5DA1C2" w:rsidR="00D54B22" w:rsidRPr="00A9662D" w:rsidRDefault="00D54B22" w:rsidP="00A9662D">
      <w:pPr>
        <w:autoSpaceDE w:val="0"/>
        <w:autoSpaceDN w:val="0"/>
        <w:adjustRightInd w:val="0"/>
        <w:jc w:val="center"/>
        <w:rPr>
          <w:rFonts w:ascii="Arial" w:eastAsia="Arial Unicode MS" w:hAnsi="Arial" w:cs="Arial"/>
          <w:bCs/>
          <w:iCs/>
          <w:sz w:val="28"/>
          <w:szCs w:val="28"/>
          <w:lang w:val="es-MX"/>
        </w:rPr>
      </w:pPr>
    </w:p>
    <w:p w14:paraId="02EB378F" w14:textId="77777777" w:rsidR="00D54B22" w:rsidRPr="00A9662D" w:rsidRDefault="00D54B22" w:rsidP="00A9662D">
      <w:pPr>
        <w:ind w:left="142"/>
        <w:jc w:val="center"/>
        <w:rPr>
          <w:rFonts w:ascii="Arial" w:eastAsia="Arial Unicode MS" w:hAnsi="Arial" w:cs="Arial"/>
          <w:bCs/>
          <w:iCs/>
          <w:sz w:val="28"/>
          <w:szCs w:val="28"/>
          <w:lang w:val="es-MX"/>
        </w:rPr>
      </w:pPr>
    </w:p>
    <w:p w14:paraId="36A7970B" w14:textId="77777777" w:rsidR="00D54B22" w:rsidRPr="00A9662D" w:rsidRDefault="00D54B22" w:rsidP="00A9662D">
      <w:pPr>
        <w:autoSpaceDE w:val="0"/>
        <w:autoSpaceDN w:val="0"/>
        <w:adjustRightInd w:val="0"/>
        <w:jc w:val="center"/>
        <w:rPr>
          <w:rFonts w:ascii="Arial" w:eastAsia="Arial Unicode MS" w:hAnsi="Arial" w:cs="Arial"/>
          <w:bCs/>
          <w:iCs/>
          <w:sz w:val="28"/>
          <w:szCs w:val="28"/>
          <w:lang w:val="es-MX"/>
        </w:rPr>
      </w:pPr>
      <w:r w:rsidRPr="00A9662D">
        <w:rPr>
          <w:rFonts w:ascii="Arial" w:eastAsia="Arial Unicode MS" w:hAnsi="Arial" w:cs="Arial"/>
          <w:bCs/>
          <w:iCs/>
          <w:sz w:val="28"/>
          <w:szCs w:val="28"/>
          <w:u w:val="single"/>
          <w:lang w:val="es-MX"/>
        </w:rPr>
        <w:t>Aprendizaje esperado</w:t>
      </w:r>
      <w:r w:rsidRPr="00A9662D">
        <w:rPr>
          <w:rFonts w:ascii="Arial" w:eastAsia="Arial Unicode MS" w:hAnsi="Arial" w:cs="Arial"/>
          <w:bCs/>
          <w:iCs/>
          <w:sz w:val="28"/>
          <w:szCs w:val="28"/>
          <w:lang w:val="es-MX"/>
        </w:rPr>
        <w:t>: Justifique y realice el análisis del currículo de Aprendizajes clave</w:t>
      </w:r>
      <w:r w:rsidR="009E4EE5" w:rsidRPr="00A9662D">
        <w:rPr>
          <w:rFonts w:ascii="Arial" w:eastAsia="Arial Unicode MS" w:hAnsi="Arial" w:cs="Arial"/>
          <w:bCs/>
          <w:iCs/>
          <w:sz w:val="28"/>
          <w:szCs w:val="28"/>
          <w:lang w:val="es-MX"/>
        </w:rPr>
        <w:t xml:space="preserve"> en el eje de ubicación espacial y figuras y cuerpos geométricos</w:t>
      </w:r>
    </w:p>
    <w:p w14:paraId="6A05A809" w14:textId="77777777" w:rsidR="00D54B22" w:rsidRPr="00A9662D" w:rsidRDefault="00D54B22" w:rsidP="00A9662D">
      <w:pPr>
        <w:ind w:left="142"/>
        <w:jc w:val="center"/>
        <w:rPr>
          <w:rFonts w:ascii="Arial" w:eastAsia="Arial Unicode MS" w:hAnsi="Arial" w:cs="Arial"/>
          <w:bCs/>
          <w:iCs/>
          <w:sz w:val="28"/>
          <w:szCs w:val="28"/>
          <w:lang w:val="es-MX"/>
        </w:rPr>
      </w:pPr>
    </w:p>
    <w:p w14:paraId="07436600" w14:textId="26136E56" w:rsidR="009E4EE5" w:rsidRPr="00A9662D" w:rsidRDefault="009E4EE5" w:rsidP="00A9662D">
      <w:pPr>
        <w:pStyle w:val="paragraph"/>
        <w:spacing w:before="0" w:beforeAutospacing="0" w:after="0" w:afterAutospacing="0"/>
        <w:jc w:val="center"/>
        <w:textAlignment w:val="baseline"/>
        <w:rPr>
          <w:rFonts w:ascii="Arial" w:eastAsia="Arial Unicode MS" w:hAnsi="Arial" w:cs="Arial"/>
          <w:bCs/>
          <w:iCs/>
          <w:color w:val="000000"/>
          <w:sz w:val="28"/>
          <w:szCs w:val="28"/>
        </w:rPr>
      </w:pPr>
      <w:r w:rsidRPr="00A9662D">
        <w:rPr>
          <w:rFonts w:ascii="Arial" w:eastAsia="Arial Unicode MS" w:hAnsi="Arial" w:cs="Arial"/>
          <w:bCs/>
          <w:iCs/>
          <w:sz w:val="28"/>
          <w:szCs w:val="28"/>
        </w:rPr>
        <w:t>C</w:t>
      </w:r>
      <w:r w:rsidR="00D54B22" w:rsidRPr="00A9662D">
        <w:rPr>
          <w:rFonts w:ascii="Arial" w:eastAsia="Arial Unicode MS" w:hAnsi="Arial" w:cs="Arial"/>
          <w:bCs/>
          <w:iCs/>
          <w:sz w:val="28"/>
          <w:szCs w:val="28"/>
        </w:rPr>
        <w:t>ompetencias esperadas del perfil de egreso:</w:t>
      </w:r>
    </w:p>
    <w:p w14:paraId="5A39BBE3" w14:textId="77777777" w:rsidR="009E4EE5" w:rsidRPr="00A9662D" w:rsidRDefault="009E4EE5" w:rsidP="00A9662D">
      <w:pPr>
        <w:pStyle w:val="paragraph"/>
        <w:spacing w:before="0" w:beforeAutospacing="0" w:after="0" w:afterAutospacing="0"/>
        <w:jc w:val="center"/>
        <w:textAlignment w:val="baseline"/>
        <w:rPr>
          <w:rFonts w:ascii="Arial" w:eastAsia="Arial Unicode MS" w:hAnsi="Arial" w:cs="Arial"/>
          <w:bCs/>
          <w:iCs/>
          <w:color w:val="000000"/>
          <w:sz w:val="32"/>
          <w:szCs w:val="32"/>
        </w:rPr>
      </w:pPr>
    </w:p>
    <w:p w14:paraId="65F38FB7" w14:textId="527CB16F" w:rsidR="009E4EE5" w:rsidRPr="00A9662D" w:rsidRDefault="009E4EE5" w:rsidP="00A9662D">
      <w:pPr>
        <w:pStyle w:val="paragraph"/>
        <w:spacing w:before="0" w:beforeAutospacing="0" w:after="0" w:afterAutospacing="0"/>
        <w:jc w:val="center"/>
        <w:textAlignment w:val="baseline"/>
        <w:rPr>
          <w:rStyle w:val="eop"/>
          <w:rFonts w:ascii="Calibri" w:hAnsi="Calibri" w:cs="Calibri"/>
          <w:bCs/>
          <w:iCs/>
          <w:sz w:val="28"/>
          <w:szCs w:val="28"/>
        </w:rPr>
      </w:pPr>
      <w:r w:rsidRPr="00A9662D">
        <w:rPr>
          <w:rStyle w:val="normaltextrun"/>
          <w:rFonts w:ascii="Calibri" w:hAnsi="Calibri" w:cs="Calibri"/>
          <w:bCs/>
          <w:iCs/>
          <w:sz w:val="28"/>
          <w:szCs w:val="28"/>
        </w:rPr>
        <w:t xml:space="preserve">Detecta los procesos de aprendizaje de sus alumnos para favorecer su desarrollo cognitivo y </w:t>
      </w:r>
      <w:proofErr w:type="spellStart"/>
      <w:r w:rsidRPr="00A9662D">
        <w:rPr>
          <w:rStyle w:val="normaltextrun"/>
          <w:rFonts w:ascii="Calibri" w:hAnsi="Calibri" w:cs="Calibri"/>
          <w:bCs/>
          <w:iCs/>
          <w:sz w:val="28"/>
          <w:szCs w:val="28"/>
        </w:rPr>
        <w:t>socioemocional</w:t>
      </w:r>
      <w:proofErr w:type="spellEnd"/>
      <w:r w:rsidRPr="00A9662D">
        <w:rPr>
          <w:rStyle w:val="normaltextrun"/>
          <w:rFonts w:ascii="Calibri" w:hAnsi="Calibri" w:cs="Calibri"/>
          <w:bCs/>
          <w:iCs/>
          <w:sz w:val="28"/>
          <w:szCs w:val="28"/>
        </w:rPr>
        <w:t>.</w:t>
      </w:r>
    </w:p>
    <w:p w14:paraId="41C8F396" w14:textId="77777777" w:rsidR="009E4EE5" w:rsidRPr="00A9662D" w:rsidRDefault="009E4EE5" w:rsidP="00A9662D">
      <w:pPr>
        <w:pStyle w:val="paragraph"/>
        <w:spacing w:before="0" w:beforeAutospacing="0" w:after="0" w:afterAutospacing="0"/>
        <w:jc w:val="center"/>
        <w:textAlignment w:val="baseline"/>
        <w:rPr>
          <w:rFonts w:ascii="Segoe UI" w:hAnsi="Segoe UI" w:cs="Segoe UI"/>
          <w:bCs/>
          <w:iCs/>
          <w:sz w:val="22"/>
          <w:szCs w:val="22"/>
        </w:rPr>
      </w:pPr>
    </w:p>
    <w:p w14:paraId="7F4BEDBB" w14:textId="14AFC126" w:rsidR="009E4EE5" w:rsidRPr="00A9662D" w:rsidRDefault="009E4EE5" w:rsidP="00A9662D">
      <w:pPr>
        <w:pStyle w:val="paragraph"/>
        <w:spacing w:before="0" w:beforeAutospacing="0" w:after="0" w:afterAutospacing="0"/>
        <w:ind w:left="270" w:hanging="270"/>
        <w:jc w:val="center"/>
        <w:textAlignment w:val="baseline"/>
        <w:rPr>
          <w:rFonts w:ascii="Segoe UI" w:hAnsi="Segoe UI" w:cs="Segoe UI"/>
          <w:bCs/>
          <w:iCs/>
          <w:sz w:val="22"/>
          <w:szCs w:val="22"/>
        </w:rPr>
      </w:pPr>
      <w:r w:rsidRPr="00A9662D">
        <w:rPr>
          <w:rStyle w:val="normaltextrun"/>
          <w:rFonts w:ascii="Calibri" w:hAnsi="Calibri" w:cs="Calibri"/>
          <w:bCs/>
          <w:iCs/>
        </w:rPr>
        <w:t>1.2 Establece relaciones entre los principios, conceptos disciplinarios y contenidos del plan y programas de estudio en función del logro de aprendizaje de sus alumnos, asegurando la coherencia y continuidad entre los distintos grados y niveles educativos.</w:t>
      </w:r>
    </w:p>
    <w:p w14:paraId="72A3D3EC" w14:textId="77777777" w:rsidR="00D54B22" w:rsidRPr="00A9662D" w:rsidRDefault="00D54B22" w:rsidP="00A9662D">
      <w:pPr>
        <w:autoSpaceDE w:val="0"/>
        <w:autoSpaceDN w:val="0"/>
        <w:adjustRightInd w:val="0"/>
        <w:jc w:val="center"/>
        <w:rPr>
          <w:rFonts w:ascii="Arial" w:eastAsia="Arial Unicode MS" w:hAnsi="Arial" w:cs="Arial"/>
          <w:bCs/>
          <w:iCs/>
          <w:color w:val="000000"/>
          <w:lang w:val="es-MX" w:eastAsia="es-MX"/>
        </w:rPr>
      </w:pPr>
    </w:p>
    <w:p w14:paraId="0D0B940D" w14:textId="77777777" w:rsidR="00D54B22" w:rsidRPr="00A9662D" w:rsidRDefault="00D54B22" w:rsidP="00A9662D">
      <w:pPr>
        <w:ind w:left="2160"/>
        <w:jc w:val="center"/>
        <w:rPr>
          <w:rFonts w:ascii="Arial" w:hAnsi="Arial" w:cs="Arial"/>
          <w:bCs/>
          <w:iCs/>
          <w:lang w:val="es-MX"/>
        </w:rPr>
      </w:pPr>
    </w:p>
    <w:p w14:paraId="0E27B00A" w14:textId="77777777" w:rsidR="00D54B22" w:rsidRPr="00A9662D" w:rsidRDefault="00D54B22" w:rsidP="00A9662D">
      <w:pPr>
        <w:widowControl w:val="0"/>
        <w:autoSpaceDE w:val="0"/>
        <w:autoSpaceDN w:val="0"/>
        <w:adjustRightInd w:val="0"/>
        <w:spacing w:after="240"/>
        <w:jc w:val="center"/>
        <w:rPr>
          <w:rFonts w:ascii="Arial" w:hAnsi="Arial" w:cs="Arial"/>
          <w:bCs/>
          <w:iCs/>
          <w:lang w:val="es-MX"/>
        </w:rPr>
      </w:pPr>
    </w:p>
    <w:p w14:paraId="1E228DA1" w14:textId="22CD6B82" w:rsidR="00D54B22" w:rsidRPr="00A9662D" w:rsidRDefault="00A9662D" w:rsidP="00A9662D">
      <w:pPr>
        <w:widowControl w:val="0"/>
        <w:autoSpaceDE w:val="0"/>
        <w:autoSpaceDN w:val="0"/>
        <w:adjustRightInd w:val="0"/>
        <w:spacing w:after="240"/>
        <w:jc w:val="center"/>
        <w:rPr>
          <w:rFonts w:ascii="Arial" w:hAnsi="Arial" w:cs="Arial"/>
          <w:bCs/>
          <w:iCs/>
          <w:lang w:val="es-MX"/>
        </w:rPr>
      </w:pPr>
      <w:r w:rsidRPr="00A9662D">
        <w:rPr>
          <w:rFonts w:ascii="Arial" w:hAnsi="Arial" w:cs="Arial"/>
          <w:bCs/>
          <w:iCs/>
          <w:lang w:val="es-MX"/>
        </w:rPr>
        <w:t>Tema del Trabajo Para Desarrollar</w:t>
      </w:r>
    </w:p>
    <w:p w14:paraId="177D54F8" w14:textId="77777777" w:rsidR="00D54B22" w:rsidRPr="00A9662D" w:rsidRDefault="00D54B22" w:rsidP="00A9662D">
      <w:pPr>
        <w:widowControl w:val="0"/>
        <w:autoSpaceDE w:val="0"/>
        <w:autoSpaceDN w:val="0"/>
        <w:adjustRightInd w:val="0"/>
        <w:spacing w:after="240"/>
        <w:jc w:val="center"/>
        <w:rPr>
          <w:rFonts w:ascii="Arial" w:hAnsi="Arial" w:cs="Arial"/>
          <w:bCs/>
          <w:i/>
          <w:lang w:val="es-MX"/>
        </w:rPr>
      </w:pPr>
      <w:r w:rsidRPr="00A9662D">
        <w:rPr>
          <w:rFonts w:ascii="Arial" w:hAnsi="Arial" w:cs="Arial"/>
          <w:bCs/>
          <w:i/>
          <w:lang w:val="es-MX"/>
        </w:rPr>
        <w:t>MATRIZ ANALÍTICA DEL CURRICULO DE APRENDIZAJES CLAVE</w:t>
      </w:r>
    </w:p>
    <w:p w14:paraId="60061E4C" w14:textId="77777777" w:rsidR="00D54B22" w:rsidRPr="00A9662D" w:rsidRDefault="00D54B22" w:rsidP="00A9662D">
      <w:pPr>
        <w:jc w:val="center"/>
        <w:rPr>
          <w:rFonts w:ascii="Arial" w:hAnsi="Arial" w:cs="Arial"/>
          <w:bCs/>
          <w:i/>
          <w:lang w:val="es-MX"/>
        </w:rPr>
      </w:pPr>
    </w:p>
    <w:p w14:paraId="3656B9AB" w14:textId="77777777" w:rsidR="00D54B22" w:rsidRDefault="00D54B22">
      <w:pPr>
        <w:rPr>
          <w:lang w:val="es-MX"/>
        </w:rPr>
      </w:pPr>
    </w:p>
    <w:p w14:paraId="45FB0818" w14:textId="1F7D8985" w:rsidR="00D54B22" w:rsidRDefault="00571006">
      <w:pPr>
        <w:rPr>
          <w:lang w:val="es-MX"/>
        </w:rPr>
      </w:pPr>
      <w:r>
        <w:rPr>
          <w:lang w:val="es-MX"/>
        </w:rPr>
        <w:t xml:space="preserve">Introducción: </w:t>
      </w:r>
    </w:p>
    <w:p w14:paraId="1409191B" w14:textId="77777777" w:rsidR="00E80535" w:rsidRPr="00E80535" w:rsidRDefault="00E80535" w:rsidP="00E80535">
      <w:pPr>
        <w:rPr>
          <w:lang w:val="es-MX"/>
        </w:rPr>
      </w:pPr>
      <w:r w:rsidRPr="00E80535">
        <w:rPr>
          <w:lang w:val="es-MX"/>
        </w:rPr>
        <w:t xml:space="preserve">La geometría no es algo que sencillamente conste de círculos, cuadrados y ya, esta es la delegada de aprender la expansión, la manera en la que se medirá, las interacciones entre aspectos, líneas, ángulos, planos y figuras, y puesto que la forma en cómo se miden. </w:t>
      </w:r>
    </w:p>
    <w:p w14:paraId="3C14E3CC" w14:textId="77777777" w:rsidR="00E80535" w:rsidRPr="00E80535" w:rsidRDefault="00E80535" w:rsidP="00E80535">
      <w:pPr>
        <w:rPr>
          <w:lang w:val="es-MX"/>
        </w:rPr>
      </w:pPr>
    </w:p>
    <w:p w14:paraId="0873CB6D" w14:textId="77777777" w:rsidR="00E80535" w:rsidRPr="00E80535" w:rsidRDefault="00E80535" w:rsidP="00E80535">
      <w:pPr>
        <w:rPr>
          <w:lang w:val="es-MX"/>
        </w:rPr>
      </w:pPr>
      <w:r w:rsidRPr="00E80535">
        <w:rPr>
          <w:lang w:val="es-MX"/>
        </w:rPr>
        <w:t xml:space="preserve"> El fin primordial de manera, Espacio y Medida es que los chicos creen sistemas de alusión en relación a la localización espacial para que así ellos comprendan que el espacio puede describirse mediante ciertas interrelaciones que se establecen entre puntos de vista de alusión u objetos; o sea, esta información les ayudará a saber dónde permanecen localizados ellos mismos, compañeros u objetos en el espacio. </w:t>
      </w:r>
    </w:p>
    <w:p w14:paraId="5D4FBE8E" w14:textId="77777777" w:rsidR="00E80535" w:rsidRPr="00E80535" w:rsidRDefault="00E80535" w:rsidP="00E80535">
      <w:pPr>
        <w:rPr>
          <w:lang w:val="es-MX"/>
        </w:rPr>
      </w:pPr>
    </w:p>
    <w:p w14:paraId="3A2D776B" w14:textId="7D4B208E" w:rsidR="00571006" w:rsidRDefault="00E80535">
      <w:pPr>
        <w:rPr>
          <w:lang w:val="es-MX"/>
        </w:rPr>
      </w:pPr>
      <w:r w:rsidRPr="00E80535">
        <w:rPr>
          <w:lang w:val="es-MX"/>
        </w:rPr>
        <w:t xml:space="preserve"> Para el llenado de esta tabla, requerí el programa de Aprendizajes Clave para la enseñanza integral, en el apartado de manera, espacio y medida, para de esta forma tener un mejor enfoque de lo cual esta materia o curso busca brindarles a los estudiantes de enseñanza elemental, subsiguiente a la lectura, busqué examinar cada punto del apartado para que de esta forma sencillamente tomar lo de mayor relevancia de cada punto, pues tal cual podría ser más veloz y simple la colección de datos.</w:t>
      </w:r>
    </w:p>
    <w:p w14:paraId="53128261" w14:textId="77777777" w:rsidR="00D54B22" w:rsidRDefault="00D54B22">
      <w:pPr>
        <w:rPr>
          <w:lang w:val="es-MX"/>
        </w:rPr>
      </w:pPr>
    </w:p>
    <w:p w14:paraId="62486C05" w14:textId="77777777" w:rsidR="00D54B22" w:rsidRDefault="00D54B22">
      <w:pPr>
        <w:rPr>
          <w:lang w:val="es-MX"/>
        </w:rPr>
      </w:pPr>
    </w:p>
    <w:p w14:paraId="4101652C" w14:textId="77777777" w:rsidR="00D54B22" w:rsidRDefault="00D54B22">
      <w:pPr>
        <w:rPr>
          <w:lang w:val="es-MX"/>
        </w:rPr>
      </w:pPr>
    </w:p>
    <w:p w14:paraId="58C00701" w14:textId="77777777" w:rsidR="00924492" w:rsidRDefault="00D54B22">
      <w:pPr>
        <w:rPr>
          <w:lang w:val="es-MX"/>
        </w:rPr>
      </w:pPr>
      <w:r>
        <w:rPr>
          <w:lang w:val="es-MX"/>
        </w:rPr>
        <w:t>Realiza una Matriz analítica del currículo de aprendizajes clave que contenga los ejes, temas aprendizajes y una idea o ejemplo de cómo se trabaja o desarrolla dicho aprendizaje</w:t>
      </w:r>
    </w:p>
    <w:p w14:paraId="4B99056E" w14:textId="77777777" w:rsidR="00D54B22" w:rsidRDefault="00D54B22">
      <w:pPr>
        <w:rPr>
          <w:lang w:val="es-MX"/>
        </w:rPr>
      </w:pPr>
    </w:p>
    <w:tbl>
      <w:tblPr>
        <w:tblStyle w:val="Tablaconcuadrcula"/>
        <w:tblW w:w="13994" w:type="dxa"/>
        <w:tblLook w:val="04A0" w:firstRow="1" w:lastRow="0" w:firstColumn="1" w:lastColumn="0" w:noHBand="0" w:noVBand="1"/>
      </w:tblPr>
      <w:tblGrid>
        <w:gridCol w:w="1114"/>
        <w:gridCol w:w="1428"/>
        <w:gridCol w:w="3008"/>
        <w:gridCol w:w="3455"/>
        <w:gridCol w:w="2498"/>
        <w:gridCol w:w="2491"/>
      </w:tblGrid>
      <w:tr w:rsidR="0016777A" w14:paraId="73612FDC" w14:textId="77777777" w:rsidTr="1F7DAFC2">
        <w:trPr>
          <w:trHeight w:val="1052"/>
        </w:trPr>
        <w:tc>
          <w:tcPr>
            <w:tcW w:w="1115" w:type="dxa"/>
          </w:tcPr>
          <w:p w14:paraId="240E6B7A" w14:textId="77777777" w:rsidR="0016777A" w:rsidRDefault="0016777A" w:rsidP="0016777A">
            <w:pPr>
              <w:rPr>
                <w:lang w:val="es-MX"/>
              </w:rPr>
            </w:pPr>
            <w:r>
              <w:rPr>
                <w:lang w:val="es-MX"/>
              </w:rPr>
              <w:lastRenderedPageBreak/>
              <w:t>EJE</w:t>
            </w:r>
          </w:p>
        </w:tc>
        <w:tc>
          <w:tcPr>
            <w:tcW w:w="1410" w:type="dxa"/>
          </w:tcPr>
          <w:p w14:paraId="14412D1B" w14:textId="77777777" w:rsidR="0016777A" w:rsidRDefault="0016777A" w:rsidP="0016777A">
            <w:pPr>
              <w:rPr>
                <w:lang w:val="es-MX"/>
              </w:rPr>
            </w:pPr>
            <w:r>
              <w:rPr>
                <w:lang w:val="es-MX"/>
              </w:rPr>
              <w:t>TEMA</w:t>
            </w:r>
          </w:p>
        </w:tc>
        <w:tc>
          <w:tcPr>
            <w:tcW w:w="3013" w:type="dxa"/>
          </w:tcPr>
          <w:p w14:paraId="4B409E63" w14:textId="77777777" w:rsidR="0016777A" w:rsidRDefault="0016777A" w:rsidP="0016777A">
            <w:pPr>
              <w:rPr>
                <w:lang w:val="es-MX"/>
              </w:rPr>
            </w:pPr>
            <w:r>
              <w:rPr>
                <w:lang w:val="es-MX"/>
              </w:rPr>
              <w:t>NIVEL DE PROFUNDIDAD</w:t>
            </w:r>
          </w:p>
        </w:tc>
        <w:tc>
          <w:tcPr>
            <w:tcW w:w="3461" w:type="dxa"/>
          </w:tcPr>
          <w:p w14:paraId="32C5FAE3" w14:textId="77777777" w:rsidR="0016777A" w:rsidRDefault="0016777A" w:rsidP="0016777A">
            <w:pPr>
              <w:rPr>
                <w:lang w:val="es-MX"/>
              </w:rPr>
            </w:pPr>
            <w:r>
              <w:rPr>
                <w:lang w:val="es-MX"/>
              </w:rPr>
              <w:t>APRENDIZAJE</w:t>
            </w:r>
          </w:p>
        </w:tc>
        <w:tc>
          <w:tcPr>
            <w:tcW w:w="2501" w:type="dxa"/>
          </w:tcPr>
          <w:p w14:paraId="2FBB433A" w14:textId="77777777" w:rsidR="0016777A" w:rsidRDefault="0016777A" w:rsidP="0016777A">
            <w:pPr>
              <w:rPr>
                <w:lang w:val="es-MX"/>
              </w:rPr>
            </w:pPr>
            <w:r>
              <w:rPr>
                <w:lang w:val="es-MX"/>
              </w:rPr>
              <w:t>¿QUÉ DEBEN SABER?</w:t>
            </w:r>
          </w:p>
        </w:tc>
        <w:tc>
          <w:tcPr>
            <w:tcW w:w="2494" w:type="dxa"/>
          </w:tcPr>
          <w:p w14:paraId="4C79BFC5" w14:textId="77777777" w:rsidR="0016777A" w:rsidRDefault="0016777A" w:rsidP="0016777A">
            <w:pPr>
              <w:rPr>
                <w:lang w:val="es-MX"/>
              </w:rPr>
            </w:pPr>
            <w:r>
              <w:rPr>
                <w:lang w:val="es-MX"/>
              </w:rPr>
              <w:t>¿QUÉ DEBEN HACER</w:t>
            </w:r>
          </w:p>
        </w:tc>
      </w:tr>
      <w:tr w:rsidR="0016777A" w14:paraId="1299C43A" w14:textId="77777777" w:rsidTr="1F7DAFC2">
        <w:trPr>
          <w:trHeight w:val="363"/>
        </w:trPr>
        <w:tc>
          <w:tcPr>
            <w:tcW w:w="1115" w:type="dxa"/>
            <w:vMerge w:val="restart"/>
          </w:tcPr>
          <w:p w14:paraId="4DDBEF00" w14:textId="06CABED1" w:rsidR="0016777A" w:rsidRDefault="1F7DAFC2" w:rsidP="0016777A">
            <w:pPr>
              <w:rPr>
                <w:lang w:val="es-MX"/>
              </w:rPr>
            </w:pPr>
            <w:r w:rsidRPr="1F7DAFC2">
              <w:rPr>
                <w:lang w:val="es-MX"/>
              </w:rPr>
              <w:t>Forma, espacio y medida.</w:t>
            </w:r>
          </w:p>
        </w:tc>
        <w:tc>
          <w:tcPr>
            <w:tcW w:w="1410" w:type="dxa"/>
          </w:tcPr>
          <w:p w14:paraId="3461D779" w14:textId="3180AFC2" w:rsidR="0016777A" w:rsidRDefault="1F7DAFC2" w:rsidP="0016777A">
            <w:pPr>
              <w:rPr>
                <w:lang w:val="es-MX"/>
              </w:rPr>
            </w:pPr>
            <w:r w:rsidRPr="1F7DAFC2">
              <w:rPr>
                <w:lang w:val="es-MX"/>
              </w:rPr>
              <w:t>Ubicación Espacial</w:t>
            </w:r>
          </w:p>
        </w:tc>
        <w:tc>
          <w:tcPr>
            <w:tcW w:w="3013" w:type="dxa"/>
          </w:tcPr>
          <w:p w14:paraId="3CF2D8B6" w14:textId="4D2C97C3" w:rsidR="00C4767C" w:rsidRDefault="00640A72" w:rsidP="0016777A">
            <w:pPr>
              <w:rPr>
                <w:lang w:val="es-MX"/>
              </w:rPr>
            </w:pPr>
            <w:r>
              <w:rPr>
                <w:lang w:val="es-MX"/>
              </w:rPr>
              <w:t xml:space="preserve">Para este aprendizaje se busca que el alumno </w:t>
            </w:r>
            <w:r w:rsidR="00AE0A22">
              <w:rPr>
                <w:lang w:val="es-MX"/>
              </w:rPr>
              <w:t>pueda llegar a sacar sus propias medidas</w:t>
            </w:r>
            <w:r w:rsidR="00FD28BD">
              <w:rPr>
                <w:lang w:val="es-MX"/>
              </w:rPr>
              <w:t xml:space="preserve">, tener una buena referencia de la ubicación, se les da la opción y oportunidad de que ellos mismos sepan conectar las relaciones y los objetos, que sepan la relación que pueden llegar a tener. </w:t>
            </w:r>
          </w:p>
        </w:tc>
        <w:tc>
          <w:tcPr>
            <w:tcW w:w="3461" w:type="dxa"/>
          </w:tcPr>
          <w:p w14:paraId="0FB78278" w14:textId="157AEC5C" w:rsidR="0016777A" w:rsidRDefault="1F7DAFC2" w:rsidP="0016777A">
            <w:pPr>
              <w:rPr>
                <w:lang w:val="es-MX"/>
              </w:rPr>
            </w:pPr>
            <w:r w:rsidRPr="1F7DAFC2">
              <w:rPr>
                <w:lang w:val="es-MX"/>
              </w:rPr>
              <w:t>Ubica objetos y lugares cuya ubicación desconoce, mediante la interpretación de relaciones espaciales y puntos de referencia.</w:t>
            </w:r>
          </w:p>
        </w:tc>
        <w:tc>
          <w:tcPr>
            <w:tcW w:w="2501" w:type="dxa"/>
          </w:tcPr>
          <w:p w14:paraId="1FC39945" w14:textId="562C61F2" w:rsidR="0016777A" w:rsidRDefault="00414732" w:rsidP="1F7DAFC2">
            <w:pPr>
              <w:rPr>
                <w:lang w:val="es-MX"/>
              </w:rPr>
            </w:pPr>
            <w:r>
              <w:rPr>
                <w:lang w:val="es-MX"/>
              </w:rPr>
              <w:t xml:space="preserve">Comunicar de manera oral el lugar de los objetos utilizando los puntos de referencia que ya se tenían con anterioridad, </w:t>
            </w:r>
          </w:p>
        </w:tc>
        <w:tc>
          <w:tcPr>
            <w:tcW w:w="2494" w:type="dxa"/>
          </w:tcPr>
          <w:p w14:paraId="7F51CA53" w14:textId="0CDC9FB9" w:rsidR="0016777A" w:rsidRDefault="1F7DAFC2" w:rsidP="1F7DAFC2">
            <w:pPr>
              <w:rPr>
                <w:lang w:val="es-MX"/>
              </w:rPr>
            </w:pPr>
            <w:r w:rsidRPr="1F7DAFC2">
              <w:rPr>
                <w:lang w:val="es-MX"/>
              </w:rPr>
              <w:t>-Encontrar objetos que se desconoce dónde están y ejecutar desplazamientos para llegar a un lugar, siguiendo instrucciones que implican el uso de puntos de referencia y relaciones espaciales-Representar gráficamente desplazamientos y trayectorias.</w:t>
            </w:r>
          </w:p>
          <w:p w14:paraId="734D0B02" w14:textId="6F6ACEC5" w:rsidR="0016777A" w:rsidRDefault="1F7DAFC2" w:rsidP="1F7DAFC2">
            <w:pPr>
              <w:rPr>
                <w:lang w:val="es-MX"/>
              </w:rPr>
            </w:pPr>
            <w:r w:rsidRPr="1F7DAFC2">
              <w:rPr>
                <w:lang w:val="es-MX"/>
              </w:rPr>
              <w:t xml:space="preserve">- Ordenar actividades de arriba hacia abajo en una columna en función del tiempo de un día. Organizar el tiempo de una semana y un mes en una tabla, registrando eventos que son familiares e identificando </w:t>
            </w:r>
            <w:r w:rsidRPr="1F7DAFC2">
              <w:rPr>
                <w:lang w:val="es-MX"/>
              </w:rPr>
              <w:lastRenderedPageBreak/>
              <w:t>secuencias y repetición de sucesos.</w:t>
            </w:r>
          </w:p>
          <w:p w14:paraId="0562CB0E" w14:textId="6D45AEBD" w:rsidR="0016777A" w:rsidRDefault="1F7DAFC2" w:rsidP="1F7DAFC2">
            <w:pPr>
              <w:rPr>
                <w:lang w:val="es-MX"/>
              </w:rPr>
            </w:pPr>
            <w:r w:rsidRPr="1F7DAFC2">
              <w:rPr>
                <w:lang w:val="es-MX"/>
              </w:rPr>
              <w:t xml:space="preserve">-Resolver rompecabezas y trabajar libremente con el </w:t>
            </w:r>
            <w:proofErr w:type="spellStart"/>
            <w:r w:rsidRPr="1F7DAFC2">
              <w:rPr>
                <w:lang w:val="es-MX"/>
              </w:rPr>
              <w:t>tangram</w:t>
            </w:r>
            <w:proofErr w:type="spellEnd"/>
            <w:r w:rsidRPr="1F7DAFC2">
              <w:rPr>
                <w:lang w:val="es-MX"/>
              </w:rPr>
              <w:t>. Y con cuadros bicolores a partir de un modelo</w:t>
            </w:r>
          </w:p>
        </w:tc>
      </w:tr>
      <w:tr w:rsidR="0016777A" w14:paraId="34CE0A41" w14:textId="77777777" w:rsidTr="1F7DAFC2">
        <w:trPr>
          <w:trHeight w:val="363"/>
        </w:trPr>
        <w:tc>
          <w:tcPr>
            <w:tcW w:w="1115" w:type="dxa"/>
            <w:vMerge/>
          </w:tcPr>
          <w:p w14:paraId="62EBF3C5" w14:textId="77777777" w:rsidR="0016777A" w:rsidRDefault="0016777A" w:rsidP="0016777A">
            <w:pPr>
              <w:rPr>
                <w:lang w:val="es-MX"/>
              </w:rPr>
            </w:pPr>
          </w:p>
        </w:tc>
        <w:tc>
          <w:tcPr>
            <w:tcW w:w="1410" w:type="dxa"/>
          </w:tcPr>
          <w:p w14:paraId="6D98A12B" w14:textId="33BB2E67" w:rsidR="0016777A" w:rsidRDefault="1F7DAFC2" w:rsidP="1F7DAFC2">
            <w:pPr>
              <w:rPr>
                <w:lang w:val="es-MX"/>
              </w:rPr>
            </w:pPr>
            <w:r w:rsidRPr="1F7DAFC2">
              <w:rPr>
                <w:lang w:val="es-MX"/>
              </w:rPr>
              <w:t>Figuras y cuerpos geométricos</w:t>
            </w:r>
          </w:p>
        </w:tc>
        <w:tc>
          <w:tcPr>
            <w:tcW w:w="3013" w:type="dxa"/>
          </w:tcPr>
          <w:p w14:paraId="2946DB82" w14:textId="124542D4" w:rsidR="00FD28BD" w:rsidRDefault="00AE06B7" w:rsidP="0016777A">
            <w:pPr>
              <w:rPr>
                <w:lang w:val="es-MX"/>
              </w:rPr>
            </w:pPr>
            <w:r>
              <w:rPr>
                <w:lang w:val="es-MX"/>
              </w:rPr>
              <w:t xml:space="preserve">En este tema se busca que los alumnos puedan lograr desarrollar la </w:t>
            </w:r>
            <w:r w:rsidR="002F2ABD">
              <w:rPr>
                <w:lang w:val="es-MX"/>
              </w:rPr>
              <w:t xml:space="preserve">percepción de la geometría representado por problemas de distintos tipos, esto ayudara a los niños a construir distintas combinaciones de formas geométricas, ampliando su capacidad mental respecto a este tema </w:t>
            </w:r>
          </w:p>
        </w:tc>
        <w:tc>
          <w:tcPr>
            <w:tcW w:w="3461" w:type="dxa"/>
          </w:tcPr>
          <w:p w14:paraId="7A4194DC" w14:textId="30B2EF7B" w:rsidR="0016777A" w:rsidRDefault="1F7DAFC2" w:rsidP="1F7DAFC2">
            <w:pPr>
              <w:rPr>
                <w:lang w:val="es-MX"/>
              </w:rPr>
            </w:pPr>
            <w:r w:rsidRPr="1F7DAFC2">
              <w:rPr>
                <w:lang w:val="es-MX"/>
              </w:rPr>
              <w:t>-Reproduce modelos con formas, figuras y cuerpos geométricos.</w:t>
            </w:r>
          </w:p>
          <w:p w14:paraId="5997CC1D" w14:textId="1594FBDA" w:rsidR="0016777A" w:rsidRDefault="1F7DAFC2" w:rsidP="1F7DAFC2">
            <w:pPr>
              <w:rPr>
                <w:lang w:val="es-MX"/>
              </w:rPr>
            </w:pPr>
            <w:r w:rsidRPr="1F7DAFC2">
              <w:rPr>
                <w:lang w:val="es-MX"/>
              </w:rPr>
              <w:t>-Construye configuraciones con formas, figuras y cuerpos geométricos</w:t>
            </w:r>
          </w:p>
        </w:tc>
        <w:tc>
          <w:tcPr>
            <w:tcW w:w="2501" w:type="dxa"/>
          </w:tcPr>
          <w:p w14:paraId="110FFD37" w14:textId="606167D2" w:rsidR="00414732" w:rsidRDefault="00414732" w:rsidP="1F7DAFC2">
            <w:pPr>
              <w:rPr>
                <w:lang w:val="es-MX"/>
              </w:rPr>
            </w:pPr>
            <w:r>
              <w:rPr>
                <w:lang w:val="es-MX"/>
              </w:rPr>
              <w:t>Reconocer las características, propiedades de figuras geométricas e implantar igualdades y contradicciones que hay entre las figuras y cuerpos geométricos al realizar un trabajo con ellos</w:t>
            </w:r>
          </w:p>
        </w:tc>
        <w:tc>
          <w:tcPr>
            <w:tcW w:w="2494" w:type="dxa"/>
          </w:tcPr>
          <w:p w14:paraId="360DB104" w14:textId="4738284F" w:rsidR="0016777A" w:rsidRDefault="1F7DAFC2" w:rsidP="1F7DAFC2">
            <w:pPr>
              <w:rPr>
                <w:lang w:val="es-MX"/>
              </w:rPr>
            </w:pPr>
            <w:r w:rsidRPr="1F7DAFC2">
              <w:rPr>
                <w:lang w:val="es-MX"/>
              </w:rPr>
              <w:t xml:space="preserve">-Resolver rompecabezas y trabajar libremente con el </w:t>
            </w:r>
            <w:proofErr w:type="spellStart"/>
            <w:r w:rsidRPr="1F7DAFC2">
              <w:rPr>
                <w:lang w:val="es-MX"/>
              </w:rPr>
              <w:t>tangram</w:t>
            </w:r>
            <w:proofErr w:type="spellEnd"/>
            <w:r w:rsidRPr="1F7DAFC2">
              <w:rPr>
                <w:lang w:val="es-MX"/>
              </w:rPr>
              <w:t xml:space="preserve"> y con cuadrados bicolores a partir de un modelo.</w:t>
            </w:r>
          </w:p>
          <w:p w14:paraId="3E568416" w14:textId="7A115721" w:rsidR="0016777A" w:rsidRDefault="1F7DAFC2" w:rsidP="1F7DAFC2">
            <w:pPr>
              <w:rPr>
                <w:lang w:val="es-MX"/>
              </w:rPr>
            </w:pPr>
            <w:r w:rsidRPr="1F7DAFC2">
              <w:rPr>
                <w:lang w:val="es-MX"/>
              </w:rPr>
              <w:t xml:space="preserve">-Reproducir y construir configuraciones a partir de un modelo utilizando diversas figuras geométricas (polígonos regulares, polígonos irregulares y no polígonos) </w:t>
            </w:r>
          </w:p>
          <w:p w14:paraId="6B699379" w14:textId="72CBF649" w:rsidR="0016777A" w:rsidRDefault="1F7DAFC2" w:rsidP="1F7DAFC2">
            <w:pPr>
              <w:rPr>
                <w:lang w:val="es-MX"/>
              </w:rPr>
            </w:pPr>
            <w:r w:rsidRPr="1F7DAFC2">
              <w:rPr>
                <w:lang w:val="es-MX"/>
              </w:rPr>
              <w:t xml:space="preserve">-Reconocer algunas figuras geométricas (cuadrado, rectángulo, rombo, </w:t>
            </w:r>
            <w:proofErr w:type="spellStart"/>
            <w:r w:rsidRPr="1F7DAFC2">
              <w:rPr>
                <w:lang w:val="es-MX"/>
              </w:rPr>
              <w:t>romboide</w:t>
            </w:r>
            <w:proofErr w:type="spellEnd"/>
            <w:r w:rsidRPr="1F7DAFC2">
              <w:rPr>
                <w:lang w:val="es-MX"/>
              </w:rPr>
              <w:t>, triangulo, pentágono, hexágono) en objetos.</w:t>
            </w:r>
          </w:p>
        </w:tc>
      </w:tr>
      <w:tr w:rsidR="1F7DAFC2" w14:paraId="071EA3EA" w14:textId="77777777" w:rsidTr="1F7DAFC2">
        <w:trPr>
          <w:trHeight w:val="363"/>
        </w:trPr>
        <w:tc>
          <w:tcPr>
            <w:tcW w:w="1115" w:type="dxa"/>
            <w:vMerge/>
          </w:tcPr>
          <w:p w14:paraId="4B823038" w14:textId="77777777" w:rsidR="0026680B" w:rsidRDefault="0026680B"/>
        </w:tc>
        <w:tc>
          <w:tcPr>
            <w:tcW w:w="1410" w:type="dxa"/>
          </w:tcPr>
          <w:p w14:paraId="32FEE2B9" w14:textId="4ACD9D9D" w:rsidR="1F7DAFC2" w:rsidRDefault="1F7DAFC2" w:rsidP="1F7DAFC2">
            <w:pPr>
              <w:rPr>
                <w:lang w:val="es-MX"/>
              </w:rPr>
            </w:pPr>
            <w:r w:rsidRPr="1F7DAFC2">
              <w:rPr>
                <w:lang w:val="es-MX"/>
              </w:rPr>
              <w:t>Magnitudes y medidas</w:t>
            </w:r>
          </w:p>
        </w:tc>
        <w:tc>
          <w:tcPr>
            <w:tcW w:w="3013" w:type="dxa"/>
          </w:tcPr>
          <w:p w14:paraId="08E79B28" w14:textId="21F7F63E" w:rsidR="002F2ABD" w:rsidRDefault="002F2ABD" w:rsidP="1F7DAFC2">
            <w:pPr>
              <w:rPr>
                <w:lang w:val="es-MX"/>
              </w:rPr>
            </w:pPr>
            <w:r>
              <w:rPr>
                <w:lang w:val="es-MX"/>
              </w:rPr>
              <w:t xml:space="preserve">En este tema se esta buscando que los alumnos puedan reconocer las magnitudes de longitud, capacidad y tiempo, esto de igual manera que el tema anterior es representado por problemas que impliquen la comparación directa </w:t>
            </w:r>
            <w:r w:rsidR="00375A71">
              <w:rPr>
                <w:lang w:val="es-MX"/>
              </w:rPr>
              <w:t xml:space="preserve">con el uso de un intermediario </w:t>
            </w:r>
          </w:p>
        </w:tc>
        <w:tc>
          <w:tcPr>
            <w:tcW w:w="3461" w:type="dxa"/>
          </w:tcPr>
          <w:p w14:paraId="2F550210" w14:textId="43BA614C" w:rsidR="1F7DAFC2" w:rsidRDefault="1F7DAFC2" w:rsidP="1F7DAFC2">
            <w:pPr>
              <w:rPr>
                <w:lang w:val="es-MX"/>
              </w:rPr>
            </w:pPr>
            <w:r w:rsidRPr="1F7DAFC2">
              <w:rPr>
                <w:lang w:val="es-MX"/>
              </w:rPr>
              <w:t>-Identifica la longitud de varios objetos a través de la comparación directa o mediante el uso de un intermediario</w:t>
            </w:r>
          </w:p>
          <w:p w14:paraId="32424F38" w14:textId="69A6C599" w:rsidR="1F7DAFC2" w:rsidRDefault="1F7DAFC2" w:rsidP="1F7DAFC2">
            <w:pPr>
              <w:rPr>
                <w:lang w:val="es-MX"/>
              </w:rPr>
            </w:pPr>
            <w:r w:rsidRPr="1F7DAFC2">
              <w:rPr>
                <w:lang w:val="es-MX"/>
              </w:rPr>
              <w:t>-Compara distancias mediante el uso de un intermediario.</w:t>
            </w:r>
          </w:p>
          <w:p w14:paraId="7C1EAF74" w14:textId="3393A496" w:rsidR="1F7DAFC2" w:rsidRDefault="1F7DAFC2" w:rsidP="1F7DAFC2">
            <w:pPr>
              <w:rPr>
                <w:lang w:val="es-MX"/>
              </w:rPr>
            </w:pPr>
            <w:r w:rsidRPr="1F7DAFC2">
              <w:rPr>
                <w:lang w:val="es-MX"/>
              </w:rPr>
              <w:t>-Mide objetos o distancias mediante el uso de unidades no convencionales.</w:t>
            </w:r>
          </w:p>
          <w:p w14:paraId="79B62B75" w14:textId="0F10EC70" w:rsidR="1F7DAFC2" w:rsidRDefault="1F7DAFC2" w:rsidP="1F7DAFC2">
            <w:pPr>
              <w:rPr>
                <w:lang w:val="es-MX"/>
              </w:rPr>
            </w:pPr>
            <w:r w:rsidRPr="1F7DAFC2">
              <w:rPr>
                <w:lang w:val="es-MX"/>
              </w:rPr>
              <w:t xml:space="preserve">-Usa unidades no convencionales para medir la capacidad con distintos propósitos. </w:t>
            </w:r>
          </w:p>
          <w:p w14:paraId="52AFC6C0" w14:textId="0DE7F385" w:rsidR="1F7DAFC2" w:rsidRDefault="1F7DAFC2" w:rsidP="1F7DAFC2">
            <w:pPr>
              <w:rPr>
                <w:lang w:val="es-MX"/>
              </w:rPr>
            </w:pPr>
            <w:r w:rsidRPr="1F7DAFC2">
              <w:rPr>
                <w:lang w:val="es-MX"/>
              </w:rPr>
              <w:t>-Identifica varios eventos de su vida cotidiana y dice el orden en el que ocurren.</w:t>
            </w:r>
          </w:p>
          <w:p w14:paraId="1C39BE1F" w14:textId="3D8FBCB9" w:rsidR="1F7DAFC2" w:rsidRDefault="1F7DAFC2" w:rsidP="1F7DAFC2">
            <w:pPr>
              <w:rPr>
                <w:lang w:val="es-MX"/>
              </w:rPr>
            </w:pPr>
            <w:r w:rsidRPr="1F7DAFC2">
              <w:rPr>
                <w:lang w:val="es-MX"/>
              </w:rPr>
              <w:t xml:space="preserve">-Usa expresiones temporales y representaciones graficas para explicar la sucesión de eventos. </w:t>
            </w:r>
          </w:p>
        </w:tc>
        <w:tc>
          <w:tcPr>
            <w:tcW w:w="2501" w:type="dxa"/>
          </w:tcPr>
          <w:p w14:paraId="3193FDD8" w14:textId="3FAD8B48" w:rsidR="1F7DAFC2" w:rsidRDefault="0045229A" w:rsidP="1F7DAFC2">
            <w:pPr>
              <w:rPr>
                <w:lang w:val="es-MX"/>
              </w:rPr>
            </w:pPr>
            <w:r>
              <w:rPr>
                <w:lang w:val="es-MX"/>
              </w:rPr>
              <w:t xml:space="preserve">Identificar la longitud y la capacidad más grande, igual o menor que hay entre dos diferentes objetos </w:t>
            </w:r>
          </w:p>
        </w:tc>
        <w:tc>
          <w:tcPr>
            <w:tcW w:w="2494" w:type="dxa"/>
          </w:tcPr>
          <w:p w14:paraId="72562E28" w14:textId="070A2E0C" w:rsidR="1F7DAFC2" w:rsidRDefault="1F7DAFC2" w:rsidP="1F7DAFC2">
            <w:pPr>
              <w:rPr>
                <w:lang w:val="es-MX"/>
              </w:rPr>
            </w:pPr>
            <w:r w:rsidRPr="1F7DAFC2">
              <w:rPr>
                <w:lang w:val="es-MX"/>
              </w:rPr>
              <w:t>-Comparar de manera directa la longitud y capacidad de dos objetos o recipientes.</w:t>
            </w:r>
          </w:p>
          <w:p w14:paraId="0DCBCCB8" w14:textId="45DBD587" w:rsidR="1F7DAFC2" w:rsidRDefault="1F7DAFC2" w:rsidP="1F7DAFC2">
            <w:pPr>
              <w:rPr>
                <w:lang w:val="es-MX"/>
              </w:rPr>
            </w:pPr>
            <w:r w:rsidRPr="1F7DAFC2">
              <w:rPr>
                <w:lang w:val="es-MX"/>
              </w:rPr>
              <w:t>-Experimentar con el uso de unidades de medida no convencionales para obtener el largo, ancho o alto de un objeto; la estatura de una persona; la distancia entre dos puntos determinados o la capacidad de un recipiente.</w:t>
            </w:r>
          </w:p>
          <w:p w14:paraId="6DF45721" w14:textId="377DFEC8" w:rsidR="1F7DAFC2" w:rsidRDefault="1F7DAFC2" w:rsidP="1F7DAFC2">
            <w:pPr>
              <w:rPr>
                <w:lang w:val="es-MX"/>
              </w:rPr>
            </w:pPr>
            <w:r w:rsidRPr="1F7DAFC2">
              <w:rPr>
                <w:lang w:val="es-MX"/>
              </w:rPr>
              <w:t>-Anticipar y verificar longitudes y capacidades con el uso de unidades de medida no convencionales.</w:t>
            </w:r>
          </w:p>
          <w:p w14:paraId="32A42228" w14:textId="09D91101" w:rsidR="1F7DAFC2" w:rsidRDefault="1F7DAFC2" w:rsidP="1F7DAFC2">
            <w:pPr>
              <w:rPr>
                <w:lang w:val="es-MX"/>
              </w:rPr>
            </w:pPr>
            <w:r w:rsidRPr="1F7DAFC2">
              <w:rPr>
                <w:lang w:val="es-MX"/>
              </w:rPr>
              <w:t>--Encontrar objetos o recipientes que compartan la misma longitud (en alguna de sus dimensiones) o capacidad.</w:t>
            </w:r>
          </w:p>
        </w:tc>
      </w:tr>
    </w:tbl>
    <w:p w14:paraId="3FE9F23F" w14:textId="77777777" w:rsidR="00D54B22" w:rsidRDefault="00D54B22">
      <w:pPr>
        <w:rPr>
          <w:lang w:val="es-MX"/>
        </w:rPr>
      </w:pPr>
    </w:p>
    <w:p w14:paraId="1F72F646" w14:textId="5095FDFB" w:rsidR="00434323" w:rsidRDefault="00571006">
      <w:pPr>
        <w:rPr>
          <w:lang w:val="es-MX"/>
        </w:rPr>
      </w:pPr>
      <w:r>
        <w:rPr>
          <w:lang w:val="es-MX"/>
        </w:rPr>
        <w:lastRenderedPageBreak/>
        <w:t xml:space="preserve">Conclusión: </w:t>
      </w:r>
      <w:r w:rsidR="000A5AB0" w:rsidRPr="000A5AB0">
        <w:rPr>
          <w:lang w:val="es-MX"/>
        </w:rPr>
        <w:t>Debido a la meditación y estudio de este trabajo, me queda más claro a eso que una maestro de preescolar se debería de enfocar en el momento de enseñar geometría, de manera errónea pensaba que sencillamente esta se trataba de las figuras y cuerpos geométricos, no obstante, ahora me doy cuenta de que va mas allá se ver círculos y triángulos, ahora sabré que deberé enseñar geometría en forma de que mis futuros estudiantes, con ayuda y aprendizaje de esta, van a ser capaces de saber en dónde permanecen ellos mismos, donde permanecen los otros, donde dejan sus juguetes o cualquier otro objeto, etcétera. Además entendí que los chicos tienen la posibilidad de auxiliar de diferentes juegos, tanto de mesa, como al viento independiente para reforzar dichos conocimientos, ejemplificando, los rompecabezas, las estatuas de marfil, el stop, etcétera.</w:t>
      </w:r>
    </w:p>
    <w:p w14:paraId="08CE6F91" w14:textId="77777777" w:rsidR="00434323" w:rsidRDefault="00434323" w:rsidP="00434323">
      <w:pPr>
        <w:jc w:val="center"/>
        <w:rPr>
          <w:lang w:val="es-MX"/>
        </w:rPr>
      </w:pPr>
    </w:p>
    <w:p w14:paraId="61CDCEAD" w14:textId="77777777" w:rsidR="00434323" w:rsidRDefault="00434323" w:rsidP="00434323">
      <w:pPr>
        <w:jc w:val="center"/>
        <w:rPr>
          <w:lang w:val="es-MX"/>
        </w:rPr>
      </w:pPr>
    </w:p>
    <w:p w14:paraId="6BB9E253" w14:textId="77777777" w:rsidR="00434323" w:rsidRDefault="00434323" w:rsidP="00434323">
      <w:pPr>
        <w:jc w:val="center"/>
        <w:rPr>
          <w:lang w:val="es-MX"/>
        </w:rPr>
      </w:pPr>
    </w:p>
    <w:p w14:paraId="23DE523C" w14:textId="77777777" w:rsidR="00434323" w:rsidRDefault="00434323" w:rsidP="00434323">
      <w:pPr>
        <w:jc w:val="center"/>
        <w:rPr>
          <w:lang w:val="es-MX"/>
        </w:rPr>
      </w:pPr>
    </w:p>
    <w:p w14:paraId="52E56223" w14:textId="77777777" w:rsidR="00434323" w:rsidRDefault="00434323" w:rsidP="00434323">
      <w:pPr>
        <w:jc w:val="center"/>
        <w:rPr>
          <w:lang w:val="es-MX"/>
        </w:rPr>
      </w:pPr>
    </w:p>
    <w:p w14:paraId="07547A01" w14:textId="77777777" w:rsidR="00434323" w:rsidRDefault="00434323" w:rsidP="00434323">
      <w:pPr>
        <w:jc w:val="center"/>
        <w:rPr>
          <w:lang w:val="es-MX"/>
        </w:rPr>
      </w:pPr>
    </w:p>
    <w:p w14:paraId="5043CB0F" w14:textId="77777777" w:rsidR="00434323" w:rsidRDefault="00434323" w:rsidP="00434323">
      <w:pPr>
        <w:jc w:val="center"/>
        <w:rPr>
          <w:lang w:val="es-MX"/>
        </w:rPr>
      </w:pPr>
    </w:p>
    <w:p w14:paraId="07459315" w14:textId="77777777" w:rsidR="00434323" w:rsidRDefault="00434323" w:rsidP="00434323">
      <w:pPr>
        <w:jc w:val="center"/>
        <w:rPr>
          <w:lang w:val="es-MX"/>
        </w:rPr>
      </w:pPr>
    </w:p>
    <w:p w14:paraId="6537F28F" w14:textId="77777777" w:rsidR="00434323" w:rsidRDefault="00434323" w:rsidP="00434323">
      <w:pPr>
        <w:jc w:val="center"/>
        <w:rPr>
          <w:lang w:val="es-MX"/>
        </w:rPr>
      </w:pPr>
    </w:p>
    <w:p w14:paraId="6DFB9E20" w14:textId="77777777" w:rsidR="00434323" w:rsidRDefault="00434323" w:rsidP="00434323">
      <w:pPr>
        <w:jc w:val="center"/>
        <w:rPr>
          <w:lang w:val="es-MX"/>
        </w:rPr>
      </w:pPr>
    </w:p>
    <w:p w14:paraId="70DF9E56" w14:textId="77777777" w:rsidR="00434323" w:rsidRDefault="00434323" w:rsidP="00434323">
      <w:pPr>
        <w:jc w:val="center"/>
        <w:rPr>
          <w:lang w:val="es-MX"/>
        </w:rPr>
      </w:pPr>
    </w:p>
    <w:p w14:paraId="44E871BC" w14:textId="77777777" w:rsidR="00434323" w:rsidRDefault="00434323" w:rsidP="00434323">
      <w:pPr>
        <w:jc w:val="center"/>
        <w:rPr>
          <w:lang w:val="es-MX"/>
        </w:rPr>
      </w:pPr>
    </w:p>
    <w:p w14:paraId="144A5D23" w14:textId="77777777" w:rsidR="00434323" w:rsidRDefault="00434323" w:rsidP="00434323">
      <w:pPr>
        <w:jc w:val="center"/>
        <w:rPr>
          <w:lang w:val="es-MX"/>
        </w:rPr>
      </w:pPr>
    </w:p>
    <w:p w14:paraId="738610EB" w14:textId="77777777" w:rsidR="00434323" w:rsidRDefault="00434323" w:rsidP="00434323">
      <w:pPr>
        <w:jc w:val="center"/>
        <w:rPr>
          <w:lang w:val="es-MX"/>
        </w:rPr>
      </w:pPr>
    </w:p>
    <w:p w14:paraId="637805D2" w14:textId="77777777" w:rsidR="00434323" w:rsidRDefault="00434323" w:rsidP="00434323">
      <w:pPr>
        <w:jc w:val="center"/>
        <w:rPr>
          <w:lang w:val="es-MX"/>
        </w:rPr>
      </w:pPr>
    </w:p>
    <w:p w14:paraId="463F29E8" w14:textId="77777777" w:rsidR="00434323" w:rsidRDefault="00434323" w:rsidP="00434323">
      <w:pPr>
        <w:jc w:val="center"/>
        <w:rPr>
          <w:lang w:val="es-MX"/>
        </w:rPr>
      </w:pPr>
    </w:p>
    <w:p w14:paraId="3B7B4B86" w14:textId="77777777" w:rsidR="00434323" w:rsidRDefault="00434323" w:rsidP="00434323">
      <w:pPr>
        <w:jc w:val="center"/>
        <w:rPr>
          <w:lang w:val="es-MX"/>
        </w:rPr>
      </w:pPr>
    </w:p>
    <w:p w14:paraId="3A0FF5F2" w14:textId="77777777" w:rsidR="00434323" w:rsidRDefault="00434323" w:rsidP="00434323">
      <w:pPr>
        <w:jc w:val="center"/>
        <w:rPr>
          <w:lang w:val="es-MX"/>
        </w:rPr>
      </w:pPr>
    </w:p>
    <w:p w14:paraId="5630AD66" w14:textId="77777777" w:rsidR="00434323" w:rsidRDefault="00434323" w:rsidP="00434323">
      <w:pPr>
        <w:jc w:val="center"/>
        <w:rPr>
          <w:lang w:val="es-MX"/>
        </w:rPr>
      </w:pPr>
    </w:p>
    <w:p w14:paraId="538FC2EB" w14:textId="77777777" w:rsidR="00434323" w:rsidRDefault="00EE17DC" w:rsidP="00434323">
      <w:pPr>
        <w:jc w:val="center"/>
        <w:rPr>
          <w:lang w:val="es-MX"/>
        </w:rPr>
      </w:pPr>
      <w:r>
        <w:rPr>
          <w:lang w:val="es-MX"/>
        </w:rPr>
        <w:t>RUBRICA DE E</w:t>
      </w:r>
      <w:r w:rsidR="00434323">
        <w:rPr>
          <w:lang w:val="es-MX"/>
        </w:rPr>
        <w:t>VALUACIÓN</w:t>
      </w:r>
    </w:p>
    <w:p w14:paraId="61829076" w14:textId="77777777" w:rsidR="00434323" w:rsidRPr="00D54B22" w:rsidRDefault="00434323">
      <w:pPr>
        <w:rPr>
          <w:lang w:val="es-MX"/>
        </w:rPr>
      </w:pPr>
      <w:r>
        <w:rPr>
          <w:noProof/>
          <w:lang w:val="es-MX" w:eastAsia="es-MX"/>
        </w:rPr>
        <w:lastRenderedPageBreak/>
        <w:drawing>
          <wp:inline distT="0" distB="0" distL="0" distR="0" wp14:anchorId="0EB716D1" wp14:editId="07777777">
            <wp:extent cx="7915275" cy="5194500"/>
            <wp:effectExtent l="0" t="0" r="0" b="635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494" r="6753"/>
                    <a:stretch/>
                  </pic:blipFill>
                  <pic:spPr bwMode="auto">
                    <a:xfrm>
                      <a:off x="0" y="0"/>
                      <a:ext cx="7920365" cy="51978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434323" w:rsidRPr="00D54B22" w:rsidSect="00D54B2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8714E"/>
    <w:multiLevelType w:val="hybridMultilevel"/>
    <w:tmpl w:val="226830E6"/>
    <w:lvl w:ilvl="0" w:tplc="31DE6E78">
      <w:start w:val="1"/>
      <w:numFmt w:val="bullet"/>
      <w:lvlText w:val="-"/>
      <w:lvlJc w:val="left"/>
      <w:pPr>
        <w:ind w:left="720" w:hanging="360"/>
      </w:pPr>
      <w:rPr>
        <w:rFonts w:ascii="Calibri" w:hAnsi="Calibri" w:hint="default"/>
      </w:rPr>
    </w:lvl>
    <w:lvl w:ilvl="1" w:tplc="850CB1D2">
      <w:start w:val="1"/>
      <w:numFmt w:val="bullet"/>
      <w:lvlText w:val="o"/>
      <w:lvlJc w:val="left"/>
      <w:pPr>
        <w:ind w:left="1440" w:hanging="360"/>
      </w:pPr>
      <w:rPr>
        <w:rFonts w:ascii="Courier New" w:hAnsi="Courier New" w:hint="default"/>
      </w:rPr>
    </w:lvl>
    <w:lvl w:ilvl="2" w:tplc="440CFC08">
      <w:start w:val="1"/>
      <w:numFmt w:val="bullet"/>
      <w:lvlText w:val=""/>
      <w:lvlJc w:val="left"/>
      <w:pPr>
        <w:ind w:left="2160" w:hanging="360"/>
      </w:pPr>
      <w:rPr>
        <w:rFonts w:ascii="Wingdings" w:hAnsi="Wingdings" w:hint="default"/>
      </w:rPr>
    </w:lvl>
    <w:lvl w:ilvl="3" w:tplc="61AA0DDE">
      <w:start w:val="1"/>
      <w:numFmt w:val="bullet"/>
      <w:lvlText w:val=""/>
      <w:lvlJc w:val="left"/>
      <w:pPr>
        <w:ind w:left="2880" w:hanging="360"/>
      </w:pPr>
      <w:rPr>
        <w:rFonts w:ascii="Symbol" w:hAnsi="Symbol" w:hint="default"/>
      </w:rPr>
    </w:lvl>
    <w:lvl w:ilvl="4" w:tplc="61F6AFD4">
      <w:start w:val="1"/>
      <w:numFmt w:val="bullet"/>
      <w:lvlText w:val="o"/>
      <w:lvlJc w:val="left"/>
      <w:pPr>
        <w:ind w:left="3600" w:hanging="360"/>
      </w:pPr>
      <w:rPr>
        <w:rFonts w:ascii="Courier New" w:hAnsi="Courier New" w:hint="default"/>
      </w:rPr>
    </w:lvl>
    <w:lvl w:ilvl="5" w:tplc="CDD04874">
      <w:start w:val="1"/>
      <w:numFmt w:val="bullet"/>
      <w:lvlText w:val=""/>
      <w:lvlJc w:val="left"/>
      <w:pPr>
        <w:ind w:left="4320" w:hanging="360"/>
      </w:pPr>
      <w:rPr>
        <w:rFonts w:ascii="Wingdings" w:hAnsi="Wingdings" w:hint="default"/>
      </w:rPr>
    </w:lvl>
    <w:lvl w:ilvl="6" w:tplc="E4ECF7B4">
      <w:start w:val="1"/>
      <w:numFmt w:val="bullet"/>
      <w:lvlText w:val=""/>
      <w:lvlJc w:val="left"/>
      <w:pPr>
        <w:ind w:left="5040" w:hanging="360"/>
      </w:pPr>
      <w:rPr>
        <w:rFonts w:ascii="Symbol" w:hAnsi="Symbol" w:hint="default"/>
      </w:rPr>
    </w:lvl>
    <w:lvl w:ilvl="7" w:tplc="805848E8">
      <w:start w:val="1"/>
      <w:numFmt w:val="bullet"/>
      <w:lvlText w:val="o"/>
      <w:lvlJc w:val="left"/>
      <w:pPr>
        <w:ind w:left="5760" w:hanging="360"/>
      </w:pPr>
      <w:rPr>
        <w:rFonts w:ascii="Courier New" w:hAnsi="Courier New" w:hint="default"/>
      </w:rPr>
    </w:lvl>
    <w:lvl w:ilvl="8" w:tplc="61904A8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activeWritingStyle w:appName="MSWord" w:lang="es-MX" w:vendorID="64" w:dllVersion="6" w:nlCheck="1" w:checkStyle="0"/>
  <w:activeWritingStyle w:appName="MSWord" w:lang="es-MX" w:vendorID="64" w:dllVersion="0"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2"/>
    <w:rsid w:val="000A5AB0"/>
    <w:rsid w:val="0016777A"/>
    <w:rsid w:val="00192C1F"/>
    <w:rsid w:val="001E544D"/>
    <w:rsid w:val="0026680B"/>
    <w:rsid w:val="002F2ABD"/>
    <w:rsid w:val="00375A71"/>
    <w:rsid w:val="00414732"/>
    <w:rsid w:val="00434323"/>
    <w:rsid w:val="0045229A"/>
    <w:rsid w:val="00571006"/>
    <w:rsid w:val="006267F3"/>
    <w:rsid w:val="00640A72"/>
    <w:rsid w:val="00805434"/>
    <w:rsid w:val="00924492"/>
    <w:rsid w:val="009D3C60"/>
    <w:rsid w:val="009E4EE5"/>
    <w:rsid w:val="00A9662D"/>
    <w:rsid w:val="00AE06B7"/>
    <w:rsid w:val="00AE0A22"/>
    <w:rsid w:val="00C4767C"/>
    <w:rsid w:val="00C906F6"/>
    <w:rsid w:val="00D54B22"/>
    <w:rsid w:val="00E80535"/>
    <w:rsid w:val="00EE17DC"/>
    <w:rsid w:val="00F10629"/>
    <w:rsid w:val="00FD28BD"/>
    <w:rsid w:val="00FF4F68"/>
    <w:rsid w:val="02786591"/>
    <w:rsid w:val="08B38656"/>
    <w:rsid w:val="0D24DD19"/>
    <w:rsid w:val="127197C0"/>
    <w:rsid w:val="1B706C98"/>
    <w:rsid w:val="1C360319"/>
    <w:rsid w:val="1DE1DF61"/>
    <w:rsid w:val="1F6B78CC"/>
    <w:rsid w:val="1F7DAFC2"/>
    <w:rsid w:val="27DBCC3F"/>
    <w:rsid w:val="29584E20"/>
    <w:rsid w:val="2EDBBA37"/>
    <w:rsid w:val="2F687439"/>
    <w:rsid w:val="3040D928"/>
    <w:rsid w:val="35C4453F"/>
    <w:rsid w:val="36BBD170"/>
    <w:rsid w:val="3880716E"/>
    <w:rsid w:val="39EFA8F4"/>
    <w:rsid w:val="437D62DD"/>
    <w:rsid w:val="4629E7CC"/>
    <w:rsid w:val="46CE2BFC"/>
    <w:rsid w:val="46E19C7A"/>
    <w:rsid w:val="4E843B0B"/>
    <w:rsid w:val="4FC748F5"/>
    <w:rsid w:val="52EF4277"/>
    <w:rsid w:val="5A1E262F"/>
    <w:rsid w:val="5AF68B1E"/>
    <w:rsid w:val="5BB9F690"/>
    <w:rsid w:val="5EDE26D4"/>
    <w:rsid w:val="608D67B3"/>
    <w:rsid w:val="6560D8D6"/>
    <w:rsid w:val="66E47DF4"/>
    <w:rsid w:val="6CC3DD4D"/>
    <w:rsid w:val="6FFB7E0F"/>
    <w:rsid w:val="763E26B8"/>
    <w:rsid w:val="7DA12B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8677F"/>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73B4D-8825-44AA-ADB1-FE5B2C02031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D1B1670-8133-43DD-B446-8EEBF8557C68}">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4.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0/xmlns/"/>
    <ds:schemaRef ds:uri="http://www.w3.org/2001/XMLSchema"/>
    <ds:schemaRef ds:uri="6e271698-2bab-4957-99ca-e5d9fd7e774b"/>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MONSERRATH VALDEZ RIOS</cp:lastModifiedBy>
  <cp:revision>12</cp:revision>
  <dcterms:created xsi:type="dcterms:W3CDTF">2022-02-23T05:35:00Z</dcterms:created>
  <dcterms:modified xsi:type="dcterms:W3CDTF">2022-03-01T14:57:00Z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