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766A" w14:textId="41CC1EBD" w:rsidR="006F3C61" w:rsidRPr="006F3C61" w:rsidRDefault="006F3C61" w:rsidP="000A351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A77A3" wp14:editId="3128C217">
            <wp:simplePos x="0" y="0"/>
            <wp:positionH relativeFrom="page">
              <wp:align>left</wp:align>
            </wp:positionH>
            <wp:positionV relativeFrom="page">
              <wp:posOffset>279578</wp:posOffset>
            </wp:positionV>
            <wp:extent cx="990600" cy="963295"/>
            <wp:effectExtent l="0" t="0" r="0" b="8255"/>
            <wp:wrapNone/>
            <wp:docPr id="7" name="Imagen 7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-1" r="18509" b="-1"/>
                    <a:stretch/>
                  </pic:blipFill>
                  <pic:spPr bwMode="auto">
                    <a:xfrm>
                      <a:off x="0" y="0"/>
                      <a:ext cx="990783" cy="96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  <w:szCs w:val="72"/>
        </w:rPr>
        <w:t>Escuela Normal de Educación Preescolar.</w:t>
      </w:r>
    </w:p>
    <w:p w14:paraId="0012B0D4" w14:textId="77777777" w:rsidR="006F3C61" w:rsidRDefault="006F3C61" w:rsidP="006F3C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Licenciatura de Educación Preescolar.</w:t>
      </w:r>
    </w:p>
    <w:p w14:paraId="68167347" w14:textId="77777777" w:rsidR="006F3C61" w:rsidRDefault="006F3C61" w:rsidP="006F3C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Primer grado. Sección: A</w:t>
      </w:r>
    </w:p>
    <w:p w14:paraId="405168D3" w14:textId="77777777" w:rsidR="006F3C61" w:rsidRDefault="006F3C61" w:rsidP="006F3C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Ciclo escolar 2021-2022.</w:t>
      </w:r>
    </w:p>
    <w:p w14:paraId="0E2F3BB3" w14:textId="77777777" w:rsidR="006F3C61" w:rsidRPr="00A509B5" w:rsidRDefault="006F3C61" w:rsidP="006F3C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509B5">
        <w:rPr>
          <w:rFonts w:ascii="Times New Roman" w:hAnsi="Times New Roman" w:cs="Times New Roman"/>
          <w:sz w:val="72"/>
          <w:szCs w:val="72"/>
        </w:rPr>
        <w:t>Curso: Tutoría grupal.</w:t>
      </w:r>
    </w:p>
    <w:p w14:paraId="4511FBB9" w14:textId="77777777" w:rsidR="006F3C61" w:rsidRDefault="006F3C61" w:rsidP="006F3C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Maestra: Irma Edith Vargas Rodríguez </w:t>
      </w:r>
    </w:p>
    <w:p w14:paraId="5DF2BCCD" w14:textId="77777777" w:rsidR="006F3C61" w:rsidRDefault="006F3C61" w:rsidP="006F3C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Alumna: Melanie Aranzazu de la Rosa de Santiago.</w:t>
      </w:r>
    </w:p>
    <w:p w14:paraId="2F7B9C6A" w14:textId="398570FE" w:rsidR="000A3518" w:rsidRDefault="000A3518" w:rsidP="000A351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¿Qué es la memoria?</w:t>
      </w:r>
    </w:p>
    <w:p w14:paraId="5D0237C7" w14:textId="0F3997A7" w:rsidR="006F3C61" w:rsidRDefault="006F3C61" w:rsidP="000A3518">
      <w:pPr>
        <w:jc w:val="center"/>
      </w:pPr>
      <w:r>
        <w:rPr>
          <w:rFonts w:ascii="Times New Roman" w:hAnsi="Times New Roman" w:cs="Times New Roman"/>
          <w:sz w:val="72"/>
          <w:szCs w:val="72"/>
        </w:rPr>
        <w:t>Febrero 2022.</w:t>
      </w:r>
    </w:p>
    <w:p w14:paraId="03529F6E" w14:textId="13BAF450" w:rsidR="006F3C61" w:rsidRDefault="006F3C61"/>
    <w:p w14:paraId="06F8151C" w14:textId="1DAE9912" w:rsidR="006F3C61" w:rsidRPr="000A3518" w:rsidRDefault="000A3518" w:rsidP="000A3518">
      <w:pPr>
        <w:jc w:val="center"/>
        <w:rPr>
          <w:rFonts w:ascii="Bernard MT Condensed" w:hAnsi="Bernard MT Condensed"/>
          <w:sz w:val="48"/>
          <w:szCs w:val="48"/>
        </w:rPr>
      </w:pPr>
      <w:r w:rsidRPr="000A3518">
        <w:rPr>
          <w:noProof/>
        </w:rPr>
        <w:drawing>
          <wp:anchor distT="0" distB="0" distL="114300" distR="114300" simplePos="0" relativeHeight="251658239" behindDoc="1" locked="0" layoutInCell="1" allowOverlap="1" wp14:anchorId="70C4E079" wp14:editId="2442105A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772400" cy="9860264"/>
            <wp:effectExtent l="0" t="0" r="0" b="8255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C61" w:rsidRPr="000A3518">
        <w:rPr>
          <w:rFonts w:ascii="Bernard MT Condensed" w:hAnsi="Bernard MT Condensed"/>
          <w:sz w:val="48"/>
          <w:szCs w:val="48"/>
        </w:rPr>
        <w:t>¿Qué es memoria?</w:t>
      </w:r>
    </w:p>
    <w:p w14:paraId="222D00CA" w14:textId="3E8BBDEB" w:rsidR="006F3C61" w:rsidRPr="000A3518" w:rsidRDefault="006F3C61" w:rsidP="000A351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Bookman Old Style" w:hAnsi="Bookman Old Style" w:cs="Open Sans"/>
          <w:sz w:val="26"/>
          <w:szCs w:val="26"/>
        </w:rPr>
      </w:pPr>
      <w:r w:rsidRPr="000A3518">
        <w:rPr>
          <w:rFonts w:ascii="Bookman Old Style" w:hAnsi="Bookman Old Style" w:cs="Open Sans"/>
          <w:sz w:val="26"/>
          <w:szCs w:val="26"/>
        </w:rPr>
        <w:t>La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 memoria</w:t>
      </w:r>
      <w:r w:rsidRPr="000A3518">
        <w:rPr>
          <w:rFonts w:ascii="Bookman Old Style" w:hAnsi="Bookman Old Style" w:cs="Open Sans"/>
          <w:sz w:val="26"/>
          <w:szCs w:val="26"/>
        </w:rPr>
        <w:t> es la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facultad del cerebro para retener y recordar eventos del pasado</w:t>
      </w:r>
      <w:r w:rsidRPr="000A3518">
        <w:rPr>
          <w:rFonts w:ascii="Bookman Old Style" w:hAnsi="Bookman Old Style" w:cs="Open Sans"/>
          <w:sz w:val="26"/>
          <w:szCs w:val="26"/>
        </w:rPr>
        <w:t>, sean sensaciones, impresiones, sentimientos o ideas concretas. Etimológicamente, proviene del vocablo latín </w:t>
      </w:r>
      <w:proofErr w:type="spellStart"/>
      <w:r w:rsidRPr="000A3518">
        <w:rPr>
          <w:rStyle w:val="nfasis"/>
          <w:rFonts w:ascii="Bookman Old Style" w:hAnsi="Bookman Old Style" w:cs="Open Sans"/>
          <w:sz w:val="26"/>
          <w:szCs w:val="26"/>
        </w:rPr>
        <w:t>memorĭa</w:t>
      </w:r>
      <w:proofErr w:type="spellEnd"/>
      <w:r w:rsidRPr="000A3518">
        <w:rPr>
          <w:rFonts w:ascii="Bookman Old Style" w:hAnsi="Bookman Old Style" w:cs="Open Sans"/>
          <w:sz w:val="26"/>
          <w:szCs w:val="26"/>
        </w:rPr>
        <w:t>.</w:t>
      </w:r>
    </w:p>
    <w:p w14:paraId="3383FE7B" w14:textId="1B2FB2F3" w:rsidR="006F3C61" w:rsidRPr="000A3518" w:rsidRDefault="006F3C61" w:rsidP="000A351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Bookman Old Style" w:hAnsi="Bookman Old Style" w:cs="Open Sans"/>
          <w:sz w:val="26"/>
          <w:szCs w:val="26"/>
        </w:rPr>
      </w:pPr>
      <w:r w:rsidRPr="000A3518">
        <w:rPr>
          <w:rFonts w:ascii="Bookman Old Style" w:hAnsi="Bookman Old Style" w:cs="Open Sans"/>
          <w:sz w:val="26"/>
          <w:szCs w:val="26"/>
        </w:rPr>
        <w:t>Es en la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 memoria</w:t>
      </w:r>
      <w:r w:rsidRPr="000A3518">
        <w:rPr>
          <w:rFonts w:ascii="Bookman Old Style" w:hAnsi="Bookman Old Style" w:cs="Open Sans"/>
          <w:sz w:val="26"/>
          <w:szCs w:val="26"/>
        </w:rPr>
        <w:t> donde almacenamos nuestros aprendizajes a lo largo de la vida, así como aquellos conocimientos que consideramos más importantes y útiles. Cuando somos capaces de almacenar recuerdos durante prolongados periodos de tiempo, sean días, meses o años, usamos nuestra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 a largo plazo</w:t>
      </w:r>
      <w:r w:rsidRPr="000A3518">
        <w:rPr>
          <w:rFonts w:ascii="Bookman Old Style" w:hAnsi="Bookman Old Style" w:cs="Open Sans"/>
          <w:sz w:val="26"/>
          <w:szCs w:val="26"/>
        </w:rPr>
        <w:t>. Por su parte, cuando nos referimos a aquel tipo de memoria que es más eficaz en retener recuerdos de acontecimientos recientes y de manera inmediata, estamos hablando de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 a corto plazo</w:t>
      </w:r>
      <w:r w:rsidRPr="000A3518">
        <w:rPr>
          <w:rFonts w:ascii="Bookman Old Style" w:hAnsi="Bookman Old Style" w:cs="Open Sans"/>
          <w:sz w:val="26"/>
          <w:szCs w:val="26"/>
        </w:rPr>
        <w:t>.</w:t>
      </w:r>
    </w:p>
    <w:p w14:paraId="69C677E4" w14:textId="3FA86DC1" w:rsidR="006F3C61" w:rsidRPr="000A3518" w:rsidRDefault="006F3C61" w:rsidP="000A351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Bookman Old Style" w:hAnsi="Bookman Old Style" w:cs="Open Sans"/>
          <w:sz w:val="26"/>
          <w:szCs w:val="26"/>
        </w:rPr>
      </w:pPr>
      <w:r w:rsidRPr="000A3518">
        <w:rPr>
          <w:rFonts w:ascii="Bookman Old Style" w:hAnsi="Bookman Old Style" w:cs="Open Sans"/>
          <w:sz w:val="26"/>
          <w:szCs w:val="26"/>
        </w:rPr>
        <w:t>Una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</w:t>
      </w:r>
      <w:r w:rsidRPr="000A3518">
        <w:rPr>
          <w:rFonts w:ascii="Bookman Old Style" w:hAnsi="Bookman Old Style" w:cs="Open Sans"/>
          <w:sz w:val="26"/>
          <w:szCs w:val="26"/>
        </w:rPr>
        <w:t> también puede referirse a un escrito que bien puede ser un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estudio sobre un determinado asunto</w:t>
      </w:r>
      <w:r w:rsidRPr="000A3518">
        <w:rPr>
          <w:rFonts w:ascii="Bookman Old Style" w:hAnsi="Bookman Old Style" w:cs="Open Sans"/>
          <w:sz w:val="26"/>
          <w:szCs w:val="26"/>
        </w:rPr>
        <w:t> de interés académico, como podría ser la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 de grado o de licenciatura</w:t>
      </w:r>
      <w:r w:rsidRPr="000A3518">
        <w:rPr>
          <w:rFonts w:ascii="Bookman Old Style" w:hAnsi="Bookman Old Style" w:cs="Open Sans"/>
          <w:sz w:val="26"/>
          <w:szCs w:val="26"/>
        </w:rPr>
        <w:t>, o puede más bien tratarse de una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relación de hechos</w:t>
      </w:r>
      <w:r w:rsidRPr="000A3518">
        <w:rPr>
          <w:rFonts w:ascii="Bookman Old Style" w:hAnsi="Bookman Old Style" w:cs="Open Sans"/>
          <w:sz w:val="26"/>
          <w:szCs w:val="26"/>
        </w:rPr>
        <w:t> que recoge el testimonio o impresiones de determinados acontecimientos, que pueden o no estar relacionados con la vida propia del autor: “García Márquez explica en sus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memorias</w:t>
      </w:r>
      <w:r w:rsidRPr="000A3518">
        <w:rPr>
          <w:rFonts w:ascii="Bookman Old Style" w:hAnsi="Bookman Old Style" w:cs="Open Sans"/>
          <w:sz w:val="26"/>
          <w:szCs w:val="26"/>
        </w:rPr>
        <w:t> la génesis de Cien años de soledad”.</w:t>
      </w:r>
    </w:p>
    <w:p w14:paraId="7DF26368" w14:textId="2F985E1E" w:rsidR="006F3C61" w:rsidRPr="000A3518" w:rsidRDefault="006F3C61" w:rsidP="000A351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Bookman Old Style" w:hAnsi="Bookman Old Style" w:cs="Open Sans"/>
          <w:sz w:val="26"/>
          <w:szCs w:val="26"/>
        </w:rPr>
      </w:pPr>
      <w:r w:rsidRPr="000A3518">
        <w:rPr>
          <w:rFonts w:ascii="Bookman Old Style" w:hAnsi="Bookman Old Style" w:cs="Open Sans"/>
          <w:sz w:val="26"/>
          <w:szCs w:val="26"/>
        </w:rPr>
        <w:t>La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</w:t>
      </w:r>
      <w:r w:rsidRPr="000A3518">
        <w:rPr>
          <w:rFonts w:ascii="Bookman Old Style" w:hAnsi="Bookman Old Style" w:cs="Open Sans"/>
          <w:sz w:val="26"/>
          <w:szCs w:val="26"/>
        </w:rPr>
        <w:t> también puede emplearse en sentido colectivo, cuando, por ejemplo, se apela a la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</w:t>
      </w:r>
      <w:r w:rsidRPr="000A3518">
        <w:rPr>
          <w:rFonts w:ascii="Bookman Old Style" w:hAnsi="Bookman Old Style" w:cs="Open Sans"/>
          <w:sz w:val="26"/>
          <w:szCs w:val="26"/>
        </w:rPr>
        <w:t> en materia política o histórica de una nación para comprender el sentido que han tomado sus sociedades: “Un pueblo sin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</w:t>
      </w:r>
      <w:r w:rsidRPr="000A3518">
        <w:rPr>
          <w:rFonts w:ascii="Bookman Old Style" w:hAnsi="Bookman Old Style" w:cs="Open Sans"/>
          <w:sz w:val="26"/>
          <w:szCs w:val="26"/>
        </w:rPr>
        <w:t> está condenado a repetir su historia”.</w:t>
      </w:r>
    </w:p>
    <w:p w14:paraId="56DC771A" w14:textId="78E43DC8" w:rsidR="006F3C61" w:rsidRPr="006F3C61" w:rsidRDefault="006F3C61" w:rsidP="000A351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Bookman Old Style" w:hAnsi="Bookman Old Style" w:cs="Open Sans"/>
          <w:color w:val="404040"/>
          <w:sz w:val="26"/>
          <w:szCs w:val="26"/>
        </w:rPr>
      </w:pPr>
      <w:r w:rsidRPr="000A3518">
        <w:rPr>
          <w:rFonts w:ascii="Bookman Old Style" w:hAnsi="Bookman Old Style" w:cs="Open Sans"/>
          <w:sz w:val="26"/>
          <w:szCs w:val="26"/>
        </w:rPr>
        <w:t>Como </w:t>
      </w:r>
      <w:r w:rsidRPr="000A3518">
        <w:rPr>
          <w:rStyle w:val="Textoennegrita"/>
          <w:rFonts w:ascii="Bookman Old Style" w:hAnsi="Bookman Old Style" w:cs="Open Sans"/>
          <w:sz w:val="26"/>
          <w:szCs w:val="26"/>
          <w:bdr w:val="none" w:sz="0" w:space="0" w:color="auto" w:frame="1"/>
        </w:rPr>
        <w:t>memoria</w:t>
      </w:r>
      <w:r w:rsidRPr="000A3518">
        <w:rPr>
          <w:rFonts w:ascii="Bookman Old Style" w:hAnsi="Bookman Old Style" w:cs="Open Sans"/>
          <w:sz w:val="26"/>
          <w:szCs w:val="26"/>
        </w:rPr>
        <w:t> también denominamos el monumento que se erige para el recuerdo de algún evento o figura ilustre</w:t>
      </w:r>
      <w:r w:rsidRPr="006F3C61">
        <w:rPr>
          <w:rFonts w:ascii="Bookman Old Style" w:hAnsi="Bookman Old Style" w:cs="Open Sans"/>
          <w:color w:val="404040"/>
          <w:sz w:val="26"/>
          <w:szCs w:val="26"/>
        </w:rPr>
        <w:t>.</w:t>
      </w:r>
      <w:r w:rsidR="000A3518" w:rsidRPr="000A3518">
        <w:t xml:space="preserve"> </w:t>
      </w:r>
    </w:p>
    <w:p w14:paraId="6F44DB3E" w14:textId="18242656" w:rsidR="006F3C61" w:rsidRPr="006F3C61" w:rsidRDefault="000A3518" w:rsidP="006F3C61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6FD999" wp14:editId="3F1C0D86">
            <wp:simplePos x="0" y="0"/>
            <wp:positionH relativeFrom="margin">
              <wp:posOffset>936171</wp:posOffset>
            </wp:positionH>
            <wp:positionV relativeFrom="page">
              <wp:posOffset>6862627</wp:posOffset>
            </wp:positionV>
            <wp:extent cx="3875315" cy="2029739"/>
            <wp:effectExtent l="0" t="0" r="0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315" cy="202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51BBD" w14:textId="2D8C2D23" w:rsidR="006F3C61" w:rsidRPr="006F3C61" w:rsidRDefault="006F3C61" w:rsidP="006F3C61">
      <w:pPr>
        <w:jc w:val="center"/>
        <w:rPr>
          <w:rFonts w:ascii="Bookman Old Style" w:hAnsi="Bookman Old Style"/>
          <w:sz w:val="26"/>
          <w:szCs w:val="26"/>
        </w:rPr>
      </w:pPr>
    </w:p>
    <w:p w14:paraId="28855566" w14:textId="1E29E9BF" w:rsidR="006F3C61" w:rsidRPr="006F3C61" w:rsidRDefault="006F3C61" w:rsidP="006F3C61">
      <w:pPr>
        <w:jc w:val="center"/>
        <w:rPr>
          <w:rFonts w:ascii="Bookman Old Style" w:hAnsi="Bookman Old Style"/>
          <w:sz w:val="26"/>
          <w:szCs w:val="26"/>
        </w:rPr>
      </w:pPr>
    </w:p>
    <w:p w14:paraId="48F906FF" w14:textId="148E50D6" w:rsidR="006F3C61" w:rsidRPr="006F3C61" w:rsidRDefault="006F3C61" w:rsidP="006F3C61">
      <w:pPr>
        <w:jc w:val="center"/>
        <w:rPr>
          <w:rFonts w:ascii="Bookman Old Style" w:hAnsi="Bookman Old Style"/>
          <w:sz w:val="26"/>
          <w:szCs w:val="26"/>
        </w:rPr>
      </w:pPr>
    </w:p>
    <w:p w14:paraId="32BFE04F" w14:textId="060D03E1" w:rsidR="006F3C61" w:rsidRPr="006F3C61" w:rsidRDefault="006F3C61" w:rsidP="006F3C61">
      <w:pPr>
        <w:jc w:val="center"/>
        <w:rPr>
          <w:rFonts w:ascii="Bookman Old Style" w:hAnsi="Bookman Old Style"/>
          <w:sz w:val="26"/>
          <w:szCs w:val="26"/>
        </w:rPr>
      </w:pPr>
    </w:p>
    <w:p w14:paraId="3C5A85A9" w14:textId="77C683B3" w:rsidR="006F3C61" w:rsidRPr="006F3C61" w:rsidRDefault="006F3C61" w:rsidP="006F3C61">
      <w:pPr>
        <w:jc w:val="center"/>
        <w:rPr>
          <w:rFonts w:ascii="Bookman Old Style" w:hAnsi="Bookman Old Style"/>
          <w:sz w:val="26"/>
          <w:szCs w:val="26"/>
        </w:rPr>
      </w:pPr>
    </w:p>
    <w:p w14:paraId="580B9E9F" w14:textId="50D10F8E" w:rsidR="006F3C61" w:rsidRPr="006F3C61" w:rsidRDefault="006F3C61" w:rsidP="006F3C61">
      <w:pPr>
        <w:rPr>
          <w:rFonts w:ascii="Bookman Old Style" w:hAnsi="Bookman Old Style"/>
          <w:sz w:val="26"/>
          <w:szCs w:val="26"/>
        </w:rPr>
      </w:pPr>
    </w:p>
    <w:p w14:paraId="7F4E9399" w14:textId="4FF4092C" w:rsidR="006F3C61" w:rsidRPr="006F3C61" w:rsidRDefault="006F3C61" w:rsidP="006F3C61">
      <w:pPr>
        <w:jc w:val="center"/>
        <w:rPr>
          <w:rFonts w:ascii="Bookman Old Style" w:hAnsi="Bookman Old Style"/>
          <w:sz w:val="26"/>
          <w:szCs w:val="26"/>
        </w:rPr>
      </w:pPr>
    </w:p>
    <w:p w14:paraId="6010AF07" w14:textId="20D0FE1F" w:rsidR="006F3C61" w:rsidRPr="000A3518" w:rsidRDefault="00930BCC" w:rsidP="006F3C61">
      <w:pPr>
        <w:jc w:val="center"/>
        <w:rPr>
          <w:rFonts w:ascii="Bernard MT Condensed" w:hAnsi="Bernard MT Condensed"/>
          <w:sz w:val="48"/>
          <w:szCs w:val="48"/>
        </w:rPr>
      </w:pPr>
      <w:r w:rsidRPr="000A3518">
        <w:rPr>
          <w:noProof/>
        </w:rPr>
        <w:drawing>
          <wp:anchor distT="0" distB="0" distL="114300" distR="114300" simplePos="0" relativeHeight="251662336" behindDoc="1" locked="0" layoutInCell="1" allowOverlap="1" wp14:anchorId="4B8F1DB1" wp14:editId="0CB1ADA7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772400" cy="9860264"/>
            <wp:effectExtent l="0" t="0" r="0" b="8255"/>
            <wp:wrapNone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C61" w:rsidRPr="000A3518">
        <w:rPr>
          <w:rFonts w:ascii="Bernard MT Condensed" w:hAnsi="Bernard MT Condensed"/>
          <w:sz w:val="48"/>
          <w:szCs w:val="48"/>
        </w:rPr>
        <w:t>¿Cuáles son las diferencias entre los cerebros de los hombres y las mujeres?</w:t>
      </w:r>
    </w:p>
    <w:p w14:paraId="6F6802BB" w14:textId="6C832628" w:rsid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>La principal diferencia que podríamos encontrar entre ambos sería el peso y el tamaño. El cerebro de la mujer es ligeramente más pequeño que el de los hombres, unos 100 gramos aproximadamente. Un mayor tamaño también contribuye en un mayor número de células.</w:t>
      </w:r>
    </w:p>
    <w:p w14:paraId="7E5BB474" w14:textId="5BCC13DE" w:rsidR="00930BCC" w:rsidRPr="00930BCC" w:rsidRDefault="00930BCC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Hipocampo</w:t>
      </w:r>
    </w:p>
    <w:p w14:paraId="5F6748C2" w14:textId="7A828AAD" w:rsidR="006F3C61" w:rsidRP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>El hipocampo es la parte que ayuda a conectar las emociones y los sentidos.  Es idéntico tanto en hombres como mujeres. Esta es una parte crucial del cerebro y clave a la hora de adaptarnos al entorno.</w:t>
      </w:r>
    </w:p>
    <w:p w14:paraId="185F12AB" w14:textId="77777777" w:rsidR="006F3C61" w:rsidRPr="00930BCC" w:rsidRDefault="006F3C61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Neuronas y sinapsis</w:t>
      </w:r>
    </w:p>
    <w:p w14:paraId="125BFBF2" w14:textId="503B8552" w:rsidR="006F3C61" w:rsidRP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>El cerebro contiene alrededor de 15 mil millones de neuronas conectadas entre ellas a través de un billón de sinapsis. Los hombres tienen hasta un 4% más de neuronas que las mujeres, sin embargo, las mujeres tienen más conexiones entre neuronas que los hombres, llamadas sinapsis.</w:t>
      </w:r>
    </w:p>
    <w:p w14:paraId="6DDD33E0" w14:textId="77777777" w:rsidR="006F3C61" w:rsidRPr="00930BCC" w:rsidRDefault="006F3C61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Hipotálamo</w:t>
      </w:r>
    </w:p>
    <w:p w14:paraId="6506BCA2" w14:textId="27F56663" w:rsidR="006F3C61" w:rsidRP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>Otra diferencia particular en los hombres es que poseen un hipotálamo casi el doble de grande y con el doble de células que el de las mujeres. Éste es el encargado de regular el sistema endocrino, que incluye funciones como la sexual, el sueño o la temperatura corporal.</w:t>
      </w:r>
    </w:p>
    <w:p w14:paraId="4E7F7BE7" w14:textId="18E0028F" w:rsidR="006F3C61" w:rsidRPr="00930BCC" w:rsidRDefault="006F3C61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Lóbulo frontal</w:t>
      </w:r>
    </w:p>
    <w:p w14:paraId="0BC119B9" w14:textId="35CB3034" w:rsidR="006F3C61" w:rsidRP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>Por otro lado, el lóbulo frontal, encargado de predecir, hacer juicios, planear y expresarse, las mujeres tienen más células que los hombres en esta región.</w:t>
      </w:r>
    </w:p>
    <w:p w14:paraId="712E015E" w14:textId="77777777" w:rsidR="006F3C61" w:rsidRPr="00930BCC" w:rsidRDefault="006F3C61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Materia gris y materia blanca</w:t>
      </w:r>
    </w:p>
    <w:p w14:paraId="0CF76AD0" w14:textId="77777777" w:rsidR="006F3C61" w:rsidRP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>Toda esta información que llega al cerebro, una vez allí, es procesada por la materia gris. La materia blanca es la que se encarga de conectar las partes del cerebro y así permitirnos hacer varias cosas a la vez. En este caso, los hombres tienen más materia gris que las mujeres y las mujeres más materia blanca.</w:t>
      </w:r>
    </w:p>
    <w:p w14:paraId="0AC96430" w14:textId="77777777" w:rsidR="006F3C61" w:rsidRPr="00930BCC" w:rsidRDefault="006F3C61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Los hemisferios cerebrales</w:t>
      </w:r>
    </w:p>
    <w:p w14:paraId="6B1548DF" w14:textId="096B276C" w:rsidR="006F3C61" w:rsidRPr="006F3C61" w:rsidRDefault="00930BCC" w:rsidP="00930BCC">
      <w:pPr>
        <w:jc w:val="center"/>
        <w:rPr>
          <w:rFonts w:ascii="Bookman Old Style" w:hAnsi="Bookman Old Style"/>
          <w:sz w:val="26"/>
          <w:szCs w:val="26"/>
        </w:rPr>
      </w:pPr>
      <w:r w:rsidRPr="000A3518">
        <w:rPr>
          <w:noProof/>
        </w:rPr>
        <w:drawing>
          <wp:anchor distT="0" distB="0" distL="114300" distR="114300" simplePos="0" relativeHeight="251664384" behindDoc="1" locked="0" layoutInCell="1" allowOverlap="1" wp14:anchorId="7B777770" wp14:editId="719E99E7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772400" cy="9860264"/>
            <wp:effectExtent l="0" t="0" r="0" b="8255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C61" w:rsidRPr="006F3C61">
        <w:rPr>
          <w:rFonts w:ascii="Bookman Old Style" w:hAnsi="Bookman Old Style"/>
          <w:sz w:val="26"/>
          <w:szCs w:val="26"/>
        </w:rPr>
        <w:t>Habrás oído muchas veces que cada hemisferio del cerebro tiene una función. La parte izquierda se encarga del procesamiento de datos y el derecho es el encargado de los juicios y las emociones. En este punto se encontró que los hombres tienen más células en el lado izquierdo (racional) y que, en el caso de las mujeres, la cosa está más equilibrada.</w:t>
      </w:r>
    </w:p>
    <w:p w14:paraId="2A997F23" w14:textId="77777777" w:rsidR="006F3C61" w:rsidRPr="00930BCC" w:rsidRDefault="006F3C61" w:rsidP="00930BCC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30BCC">
        <w:rPr>
          <w:rFonts w:ascii="Bookman Old Style" w:hAnsi="Bookman Old Style"/>
          <w:b/>
          <w:bCs/>
          <w:sz w:val="26"/>
          <w:szCs w:val="26"/>
        </w:rPr>
        <w:t>Cuerpo calloso</w:t>
      </w:r>
    </w:p>
    <w:p w14:paraId="5DAF1963" w14:textId="41A12F86" w:rsidR="006F3C61" w:rsidRDefault="006F3C61" w:rsidP="00930BCC">
      <w:pPr>
        <w:jc w:val="center"/>
        <w:rPr>
          <w:rFonts w:ascii="Bookman Old Style" w:hAnsi="Bookman Old Style"/>
          <w:sz w:val="26"/>
          <w:szCs w:val="26"/>
        </w:rPr>
      </w:pPr>
      <w:r w:rsidRPr="006F3C61">
        <w:rPr>
          <w:rFonts w:ascii="Bookman Old Style" w:hAnsi="Bookman Old Style"/>
          <w:sz w:val="26"/>
          <w:szCs w:val="26"/>
        </w:rPr>
        <w:t xml:space="preserve">La parte encargada de enviar información a ambos hemisferios es el cuerpo calloso. En este caso, es algo mayor en las mujeres, lo cual explicaría su mayor rapidez en el pensamiento y discurso demostrado en </w:t>
      </w:r>
      <w:r w:rsidR="00930BCC" w:rsidRPr="006F3C61">
        <w:rPr>
          <w:rFonts w:ascii="Bookman Old Style" w:hAnsi="Bookman Old Style"/>
          <w:sz w:val="26"/>
          <w:szCs w:val="26"/>
        </w:rPr>
        <w:t>algunas pruebas</w:t>
      </w:r>
      <w:r w:rsidRPr="006F3C61">
        <w:rPr>
          <w:rFonts w:ascii="Bookman Old Style" w:hAnsi="Bookman Old Style"/>
          <w:sz w:val="26"/>
          <w:szCs w:val="26"/>
        </w:rPr>
        <w:t>. Esto, además provoca que las mujeres presenten una mayor sensibilidad emocional. Aunque no solo es para lo bueno, este rasgo del cerebro también las hace más propensas a la depresión, y a verse afectadas por las emociones negativas</w:t>
      </w:r>
    </w:p>
    <w:p w14:paraId="5FA90DA8" w14:textId="35BE60EA" w:rsidR="00930BCC" w:rsidRPr="006F3C61" w:rsidRDefault="00930BCC" w:rsidP="00930BCC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06099F3B" wp14:editId="49E8BE19">
            <wp:extent cx="5612130" cy="3432175"/>
            <wp:effectExtent l="0" t="0" r="762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51F67" w14:textId="77777777" w:rsidR="006F3C61" w:rsidRPr="006F3C61" w:rsidRDefault="006F3C61" w:rsidP="006F3C61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Bookman Old Style" w:hAnsi="Bookman Old Style"/>
          <w:color w:val="242424"/>
          <w:sz w:val="26"/>
          <w:szCs w:val="26"/>
        </w:rPr>
      </w:pPr>
    </w:p>
    <w:p w14:paraId="4FC00BFB" w14:textId="66D4B686" w:rsidR="006F3C61" w:rsidRDefault="006F3C61" w:rsidP="006F3C61">
      <w:pPr>
        <w:jc w:val="center"/>
      </w:pPr>
    </w:p>
    <w:sectPr w:rsidR="006F3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61"/>
    <w:rsid w:val="000A3518"/>
    <w:rsid w:val="00696780"/>
    <w:rsid w:val="006F3C61"/>
    <w:rsid w:val="009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F452"/>
  <w15:chartTrackingRefBased/>
  <w15:docId w15:val="{19946708-6F5F-445E-B3A5-30B081A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3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F3C61"/>
    <w:rPr>
      <w:b/>
      <w:bCs/>
    </w:rPr>
  </w:style>
  <w:style w:type="character" w:styleId="nfasis">
    <w:name w:val="Emphasis"/>
    <w:basedOn w:val="Fuentedeprrafopredeter"/>
    <w:uiPriority w:val="20"/>
    <w:qFormat/>
    <w:rsid w:val="006F3C6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6F3C6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ARANZAZU DE LA ROSA DE SANTIAGO</dc:creator>
  <cp:keywords/>
  <dc:description/>
  <cp:lastModifiedBy>Aranzazu De la Rosa</cp:lastModifiedBy>
  <cp:revision>2</cp:revision>
  <dcterms:created xsi:type="dcterms:W3CDTF">2022-02-17T18:12:00Z</dcterms:created>
  <dcterms:modified xsi:type="dcterms:W3CDTF">2022-02-17T18:12:00Z</dcterms:modified>
</cp:coreProperties>
</file>