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4166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sz w:val="36"/>
          <w:szCs w:val="36"/>
        </w:rPr>
        <w:t>Escuela normal de educación preescolar</w:t>
      </w:r>
    </w:p>
    <w:p w14:paraId="1E51D686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sz w:val="36"/>
          <w:szCs w:val="36"/>
        </w:rPr>
        <w:t>Lic. Educación preescolar</w:t>
      </w:r>
    </w:p>
    <w:p w14:paraId="449F9ECF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noProof/>
          <w:sz w:val="36"/>
          <w:szCs w:val="36"/>
        </w:rPr>
        <w:drawing>
          <wp:inline distT="0" distB="0" distL="0" distR="0" wp14:anchorId="64833D40" wp14:editId="19D1A03C">
            <wp:extent cx="1847850" cy="13716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33A8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sz w:val="36"/>
          <w:szCs w:val="36"/>
        </w:rPr>
        <w:t>Creación literaria</w:t>
      </w:r>
    </w:p>
    <w:p w14:paraId="7C9D8BED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Trabalenguas </w:t>
      </w:r>
    </w:p>
    <w:p w14:paraId="7E252D17" w14:textId="23E3FE3F" w:rsidR="00862AE3" w:rsidRPr="0089192C" w:rsidRDefault="00862AE3" w:rsidP="00862AE3">
      <w:p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UNIDAD 2 MULTIMODAL EN LOS TEXTOS LITERARIOS.</w:t>
      </w:r>
      <w:r w:rsidRPr="0089192C">
        <w:rPr>
          <w:sz w:val="36"/>
          <w:szCs w:val="36"/>
        </w:rPr>
        <w:tab/>
      </w:r>
    </w:p>
    <w:p w14:paraId="733FB5C0" w14:textId="77777777" w:rsidR="00862AE3" w:rsidRPr="0089192C" w:rsidRDefault="00862AE3" w:rsidP="00862AE3">
      <w:pPr>
        <w:pStyle w:val="Prrafodelista"/>
        <w:numPr>
          <w:ilvl w:val="0"/>
          <w:numId w:val="1"/>
        </w:num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Detecta los procesos de aprendizaje de sus alumnos para favorecer su desarrollo cognitivo y socioemocional.</w:t>
      </w:r>
      <w:r w:rsidRPr="0089192C">
        <w:rPr>
          <w:sz w:val="36"/>
          <w:szCs w:val="36"/>
        </w:rPr>
        <w:tab/>
      </w:r>
    </w:p>
    <w:p w14:paraId="6E2C8441" w14:textId="77777777" w:rsidR="00862AE3" w:rsidRPr="0089192C" w:rsidRDefault="00862AE3" w:rsidP="00862AE3">
      <w:pPr>
        <w:pStyle w:val="Prrafodelista"/>
        <w:numPr>
          <w:ilvl w:val="0"/>
          <w:numId w:val="1"/>
        </w:num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Integra recursos de la investigación educativa para enriquecer su práctica profesional, expresando su interés por el conocimiento, la ciencia y la mejora de la educación.</w:t>
      </w:r>
    </w:p>
    <w:p w14:paraId="3CDA950B" w14:textId="77777777" w:rsidR="00862AE3" w:rsidRPr="0089192C" w:rsidRDefault="00862AE3" w:rsidP="00862AE3">
      <w:pPr>
        <w:pStyle w:val="Prrafodelista"/>
        <w:numPr>
          <w:ilvl w:val="0"/>
          <w:numId w:val="1"/>
        </w:num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Actúa de manera ética ante la diversidad de situaciones que se presentan en la práctica profesional.</w:t>
      </w:r>
    </w:p>
    <w:p w14:paraId="2894A256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Docente: Silvia Banda </w:t>
      </w:r>
    </w:p>
    <w:p w14:paraId="692480D3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Alumnas: Tamara Esmeralda Solis Aguilera N.L 24 </w:t>
      </w:r>
    </w:p>
    <w:p w14:paraId="386F18B6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Fátima </w:t>
      </w:r>
      <w:r w:rsidRPr="00FD2644">
        <w:rPr>
          <w:sz w:val="36"/>
          <w:szCs w:val="36"/>
        </w:rPr>
        <w:t>Montserrat</w:t>
      </w:r>
      <w:r>
        <w:rPr>
          <w:sz w:val="36"/>
          <w:szCs w:val="36"/>
        </w:rPr>
        <w:t xml:space="preserve"> Flores Pardo N.L 6</w:t>
      </w:r>
    </w:p>
    <w:p w14:paraId="1913D3D6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>3C</w:t>
      </w:r>
    </w:p>
    <w:p w14:paraId="7AA09103" w14:textId="77777777" w:rsidR="00157A58" w:rsidRDefault="00862AE3" w:rsidP="00157A58">
      <w:pPr>
        <w:jc w:val="center"/>
        <w:rPr>
          <w:sz w:val="36"/>
          <w:szCs w:val="36"/>
        </w:rPr>
      </w:pPr>
      <w:r>
        <w:rPr>
          <w:sz w:val="36"/>
          <w:szCs w:val="36"/>
        </w:rPr>
        <w:t>Abril del 2022</w:t>
      </w:r>
    </w:p>
    <w:p w14:paraId="5003E976" w14:textId="094A18A8" w:rsidR="00157A58" w:rsidRPr="00157A58" w:rsidRDefault="00157A58" w:rsidP="00157A58">
      <w:pPr>
        <w:jc w:val="center"/>
        <w:rPr>
          <w:sz w:val="36"/>
          <w:szCs w:val="36"/>
        </w:rPr>
        <w:sectPr w:rsidR="00157A58" w:rsidRPr="00157A58" w:rsidSect="00157A58">
          <w:pgSz w:w="12240" w:h="15840"/>
          <w:pgMar w:top="1418" w:right="1701" w:bottom="1418" w:left="1701" w:header="709" w:footer="709" w:gutter="0"/>
          <w:pgBorders w:offsetFrom="page">
            <w:top w:val="single" w:sz="24" w:space="24" w:color="4CFCFC" w:themeColor="accent3" w:themeShade="BF"/>
            <w:left w:val="single" w:sz="24" w:space="24" w:color="4CFCFC" w:themeColor="accent3" w:themeShade="BF"/>
            <w:bottom w:val="single" w:sz="24" w:space="24" w:color="4CFCFC" w:themeColor="accent3" w:themeShade="BF"/>
            <w:right w:val="single" w:sz="24" w:space="24" w:color="4CFCFC" w:themeColor="accent3" w:themeShade="BF"/>
          </w:pgBorders>
          <w:cols w:space="708"/>
          <w:docGrid w:linePitch="360"/>
        </w:sectPr>
      </w:pPr>
    </w:p>
    <w:p w14:paraId="320D1CDA" w14:textId="583D5C9D" w:rsidR="0001104E" w:rsidRPr="00D47FD8" w:rsidRDefault="0001104E" w:rsidP="00157A58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un trabalenguas?</w:t>
      </w:r>
    </w:p>
    <w:p w14:paraId="42345DE1" w14:textId="77777777" w:rsidR="00F1273E" w:rsidRPr="00F1273E" w:rsidRDefault="0001104E" w:rsidP="00F1273E">
      <w:pPr>
        <w:pStyle w:val="NormalWeb"/>
        <w:spacing w:before="0" w:beforeAutospacing="0" w:after="365" w:afterAutospacing="0"/>
        <w:rPr>
          <w:rFonts w:ascii="Montserrat" w:hAnsi="Montserrat" w:cs="Arial"/>
        </w:rPr>
      </w:pPr>
      <w:r w:rsidRPr="00F1273E">
        <w:rPr>
          <w:rFonts w:ascii="Montserrat" w:hAnsi="Montserrat" w:cs="Arial"/>
          <w:color w:val="000000" w:themeColor="text1"/>
          <w:shd w:val="clear" w:color="auto" w:fill="FFFFFF"/>
        </w:rPr>
        <w:t>Se conoce como trabalenguas o destraba lenguas a ciertos</w:t>
      </w:r>
      <w:r w:rsidRPr="00F1273E">
        <w:rPr>
          <w:rFonts w:ascii="Montserrat" w:hAnsi="Montserrat" w:cs="Arial"/>
          <w:b/>
          <w:bCs/>
          <w:color w:val="000000" w:themeColor="text1"/>
          <w:shd w:val="clear" w:color="auto" w:fill="FFFFFF"/>
        </w:rPr>
        <w:t> </w:t>
      </w:r>
      <w:r w:rsidRPr="00F1273E">
        <w:rPr>
          <w:rStyle w:val="Textoennegrita"/>
          <w:rFonts w:ascii="Montserrat" w:hAnsi="Montserrat" w:cs="Arial"/>
          <w:b w:val="0"/>
          <w:bCs w:val="0"/>
          <w:color w:val="000000" w:themeColor="text1"/>
        </w:rPr>
        <w:t>juegos de palabras que consisten en una o varias </w:t>
      </w:r>
      <w:hyperlink r:id="rId6" w:history="1">
        <w:r w:rsidRPr="00F1273E">
          <w:rPr>
            <w:rStyle w:val="Hipervnculo"/>
            <w:rFonts w:ascii="Montserrat" w:hAnsi="Montserrat" w:cs="Arial"/>
            <w:color w:val="000000" w:themeColor="text1"/>
            <w:u w:val="none"/>
          </w:rPr>
          <w:t>oraciones</w:t>
        </w:r>
      </w:hyperlink>
      <w:r w:rsidRPr="00F1273E">
        <w:rPr>
          <w:rStyle w:val="Textoennegrita"/>
          <w:rFonts w:ascii="Montserrat" w:hAnsi="Montserrat" w:cs="Arial"/>
          <w:b w:val="0"/>
          <w:bCs w:val="0"/>
          <w:color w:val="000000" w:themeColor="text1"/>
        </w:rPr>
        <w:t> de difícil pronunciación</w:t>
      </w:r>
      <w:r w:rsidRPr="00F1273E">
        <w:rPr>
          <w:rFonts w:ascii="Montserrat" w:hAnsi="Montserrat" w:cs="Arial"/>
          <w:color w:val="000000" w:themeColor="text1"/>
          <w:shd w:val="clear" w:color="auto" w:fill="FFFFFF"/>
        </w:rPr>
        <w:t>, debido a que presentan </w:t>
      </w:r>
      <w:hyperlink r:id="rId7" w:history="1">
        <w:r w:rsidRPr="00F1273E">
          <w:rPr>
            <w:rStyle w:val="Hipervnculo"/>
            <w:rFonts w:ascii="Montserrat" w:hAnsi="Montserrat" w:cs="Arial"/>
            <w:color w:val="000000" w:themeColor="text1"/>
            <w:u w:val="none"/>
          </w:rPr>
          <w:t>rimas</w:t>
        </w:r>
      </w:hyperlink>
      <w:r w:rsidRPr="00F1273E">
        <w:rPr>
          <w:rFonts w:ascii="Montserrat" w:hAnsi="Montserrat" w:cs="Arial"/>
          <w:color w:val="000000" w:themeColor="text1"/>
          <w:shd w:val="clear" w:color="auto" w:fill="FFFFFF"/>
        </w:rPr>
        <w:t> internas o </w:t>
      </w:r>
      <w:hyperlink r:id="rId8" w:history="1">
        <w:r w:rsidRPr="00F1273E">
          <w:rPr>
            <w:rStyle w:val="Hipervnculo"/>
            <w:rFonts w:ascii="Montserrat" w:hAnsi="Montserrat" w:cs="Arial"/>
            <w:color w:val="000000" w:themeColor="text1"/>
            <w:u w:val="none"/>
          </w:rPr>
          <w:t>aliteraciones</w:t>
        </w:r>
      </w:hyperlink>
      <w:r w:rsidRPr="00F1273E">
        <w:rPr>
          <w:rFonts w:ascii="Montserrat" w:hAnsi="Montserrat" w:cs="Arial"/>
          <w:color w:val="000000" w:themeColor="text1"/>
          <w:shd w:val="clear" w:color="auto" w:fill="FFFFFF"/>
        </w:rPr>
        <w:t xml:space="preserve"> que exigen un mayor </w:t>
      </w:r>
      <w:r w:rsidRPr="00F1273E">
        <w:rPr>
          <w:rFonts w:ascii="Montserrat" w:hAnsi="Montserrat" w:cs="Arial"/>
          <w:shd w:val="clear" w:color="auto" w:fill="FFFFFF"/>
        </w:rPr>
        <w:t>esfuerzo en el </w:t>
      </w:r>
      <w:hyperlink r:id="rId9" w:history="1">
        <w:r w:rsidRPr="00F1273E">
          <w:rPr>
            <w:rStyle w:val="Hipervnculo"/>
            <w:rFonts w:ascii="Montserrat" w:hAnsi="Montserrat" w:cs="Arial"/>
            <w:color w:val="auto"/>
            <w:u w:val="none"/>
          </w:rPr>
          <w:t>habla</w:t>
        </w:r>
      </w:hyperlink>
      <w:r w:rsidRPr="00F1273E">
        <w:rPr>
          <w:rFonts w:ascii="Montserrat" w:hAnsi="Montserrat" w:cs="Arial"/>
          <w:shd w:val="clear" w:color="auto" w:fill="FFFFFF"/>
        </w:rPr>
        <w:t>. Suelen tratar sobre temas jocosos o imaginativos, y existen en prácticamente todos los </w:t>
      </w:r>
      <w:hyperlink r:id="rId10" w:history="1">
        <w:r w:rsidRPr="00F1273E">
          <w:rPr>
            <w:rStyle w:val="Hipervnculo"/>
            <w:rFonts w:ascii="Montserrat" w:hAnsi="Montserrat" w:cs="Arial"/>
            <w:color w:val="auto"/>
            <w:u w:val="none"/>
          </w:rPr>
          <w:t>idiomas</w:t>
        </w:r>
      </w:hyperlink>
      <w:r w:rsidRPr="00F1273E">
        <w:rPr>
          <w:rFonts w:ascii="Montserrat" w:hAnsi="Montserrat" w:cs="Arial"/>
          <w:shd w:val="clear" w:color="auto" w:fill="FFFFFF"/>
        </w:rPr>
        <w:t>.</w:t>
      </w:r>
      <w:r w:rsidRPr="00F1273E">
        <w:rPr>
          <w:rFonts w:ascii="Montserrat" w:hAnsi="Montserrat" w:cs="Arial"/>
        </w:rPr>
        <w:br/>
      </w:r>
      <w:r w:rsidR="00F1273E" w:rsidRPr="00F1273E">
        <w:rPr>
          <w:rFonts w:ascii="Montserrat" w:hAnsi="Montserrat" w:cs="Arial"/>
        </w:rPr>
        <w:t>Los trabalenguas forman parte de la tradición oral y se transmiten generalmente de generación en generación. Por otro lado, también han sido extensamente estudiados por lingüistas y </w:t>
      </w:r>
      <w:hyperlink r:id="rId11" w:history="1">
        <w:r w:rsidR="00F1273E" w:rsidRPr="00F1273E">
          <w:rPr>
            <w:rFonts w:ascii="Montserrat" w:hAnsi="Montserrat" w:cs="Arial"/>
          </w:rPr>
          <w:t>docentes</w:t>
        </w:r>
      </w:hyperlink>
      <w:r w:rsidR="00F1273E" w:rsidRPr="00F1273E">
        <w:rPr>
          <w:rFonts w:ascii="Montserrat" w:hAnsi="Montserrat" w:cs="Arial"/>
        </w:rPr>
        <w:t>, ya que a menudo son entendidos como un buen ejercicio para mejorar la dicción, especialmente en edades infantiles.</w:t>
      </w:r>
    </w:p>
    <w:p w14:paraId="3B278D3A" w14:textId="77777777" w:rsidR="00F1273E" w:rsidRPr="00D47FD8" w:rsidRDefault="00F1273E" w:rsidP="00F1273E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Origen de los trabalenguas </w:t>
      </w:r>
    </w:p>
    <w:p w14:paraId="6A466047" w14:textId="02DB7D0A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Arial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Arial"/>
          <w:sz w:val="24"/>
          <w:szCs w:val="24"/>
          <w:lang w:eastAsia="es-MX"/>
        </w:rPr>
        <w:t>Generalmente, los trabalenguas se heredan anónimamente de las generaciones anteriores. Su </w:t>
      </w:r>
      <w:hyperlink r:id="rId12" w:history="1">
        <w:r w:rsidRPr="00F1273E">
          <w:rPr>
            <w:rFonts w:ascii="Montserrat" w:eastAsia="Times New Roman" w:hAnsi="Montserrat" w:cs="Arial"/>
            <w:sz w:val="24"/>
            <w:szCs w:val="24"/>
            <w:lang w:eastAsia="es-MX"/>
          </w:rPr>
          <w:t>historia</w:t>
        </w:r>
      </w:hyperlink>
      <w:r w:rsidRPr="00F1273E">
        <w:rPr>
          <w:rFonts w:ascii="Montserrat" w:eastAsia="Times New Roman" w:hAnsi="Montserrat" w:cs="Arial"/>
          <w:sz w:val="24"/>
          <w:szCs w:val="24"/>
          <w:lang w:eastAsia="es-MX"/>
        </w:rPr>
        <w:t> es más o menos incierta, aunque se sabe que existieron en la </w:t>
      </w:r>
      <w:hyperlink r:id="rId13" w:history="1">
        <w:r w:rsidRPr="00F1273E">
          <w:rPr>
            <w:rFonts w:ascii="Montserrat" w:eastAsia="Times New Roman" w:hAnsi="Montserrat" w:cs="Arial"/>
            <w:sz w:val="24"/>
            <w:szCs w:val="24"/>
            <w:lang w:eastAsia="es-MX"/>
          </w:rPr>
          <w:t>Antigua Grecia</w:t>
        </w:r>
      </w:hyperlink>
      <w:r w:rsidRPr="00F1273E">
        <w:rPr>
          <w:rFonts w:ascii="Montserrat" w:eastAsia="Times New Roman" w:hAnsi="Montserrat" w:cs="Arial"/>
          <w:sz w:val="24"/>
          <w:szCs w:val="24"/>
          <w:lang w:eastAsia="es-MX"/>
        </w:rPr>
        <w:t>, como parte de los ejercicios destinados a mejorar las capacidades de los políticos y oradores, tradición que luego heredó la cultura romana.</w:t>
      </w:r>
    </w:p>
    <w:p w14:paraId="5BC78648" w14:textId="3C0EC235" w:rsidR="00157A58" w:rsidRPr="00D47FD8" w:rsidRDefault="00157A58" w:rsidP="00157A58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Características de los trabalenguas</w:t>
      </w:r>
    </w:p>
    <w:p w14:paraId="137F67AD" w14:textId="77777777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A grandes rasgos, un trabalenguas se caracteriza por lo siguiente:</w:t>
      </w:r>
    </w:p>
    <w:p w14:paraId="19B91B96" w14:textId="655C8002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Consisten en oraciones breves, compuestas por </w:t>
      </w:r>
      <w:hyperlink r:id="rId14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fonemas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 (</w:t>
      </w:r>
      <w:hyperlink r:id="rId15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sonidos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) muy parecidos, repetidos en </w:t>
      </w:r>
      <w:hyperlink r:id="rId16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palabras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 distintas, de acuerdo con el patrón de un orden sonoro o una rima.</w:t>
      </w:r>
    </w:p>
    <w:p w14:paraId="6D6404C2" w14:textId="77777777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Aunque parezca obvio, son difíciles de pronunciar, sobre todo por primera vez.</w:t>
      </w:r>
    </w:p>
    <w:p w14:paraId="31177A51" w14:textId="77777777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Son anónimos, no tienen un autor, y se transmiten por tradición oral.</w:t>
      </w:r>
    </w:p>
    <w:p w14:paraId="6CBC485E" w14:textId="77777777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Existen en todos los idiomas y su contenido suele reflejar la </w:t>
      </w:r>
      <w:hyperlink r:id="rId17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cultura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 local.</w:t>
      </w:r>
    </w:p>
    <w:p w14:paraId="75F95954" w14:textId="59688BE3" w:rsidR="00F1273E" w:rsidRPr="00D47FD8" w:rsidRDefault="00F1273E" w:rsidP="00F1273E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Beneficios de los trabalenguas </w:t>
      </w:r>
    </w:p>
    <w:p w14:paraId="5D7CACA9" w14:textId="77777777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Los trabalenguas son muy empleados en los libros y clases durante las etapas iniciales de la formación educativa, cuando los niños están todavía adquiriendo y perfeccionando su agarre del idioma.</w:t>
      </w:r>
    </w:p>
    <w:p w14:paraId="12F8AD22" w14:textId="77777777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En ese sentido, son ideales para ejercitar el aparato fonador y, justamente, “destrabar” la lengua para facilitar el habla. Esa es la razón por la cual también convienen a la hora de aprender nuevos idiomas, como un ejercicio de pronunciación y soltura, y por la cual son un instrumento común de los terapistas del lenguaje.</w:t>
      </w:r>
    </w:p>
    <w:p w14:paraId="1ACB6519" w14:textId="439117E8" w:rsidR="00F1273E" w:rsidRPr="00F1273E" w:rsidRDefault="00F1273E" w:rsidP="00F1273E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br/>
      </w:r>
    </w:p>
    <w:p w14:paraId="691DD5AC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C7F0BB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244052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C99FA5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3C86D5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FE5206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F2DCEF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95678F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409408" w14:textId="13381BF6" w:rsidR="00862AE3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guet Script" w:hAnsi="Baguet Script"/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A82BC16" wp14:editId="076FDBBC">
            <wp:simplePos x="0" y="0"/>
            <wp:positionH relativeFrom="column">
              <wp:posOffset>4414521</wp:posOffset>
            </wp:positionH>
            <wp:positionV relativeFrom="paragraph">
              <wp:posOffset>329565</wp:posOffset>
            </wp:positionV>
            <wp:extent cx="4009390" cy="2171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09DD0" wp14:editId="7EB5A4B7">
            <wp:simplePos x="0" y="0"/>
            <wp:positionH relativeFrom="column">
              <wp:posOffset>-176530</wp:posOffset>
            </wp:positionH>
            <wp:positionV relativeFrom="paragraph">
              <wp:posOffset>339090</wp:posOffset>
            </wp:positionV>
            <wp:extent cx="4390803" cy="2200275"/>
            <wp:effectExtent l="0" t="0" r="0" b="0"/>
            <wp:wrapNone/>
            <wp:docPr id="3" name="Imagen 3" descr="Trabalenguas populares【La Mejor Colección】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lenguas populares【La Mejor Colección】para niños de primar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42" cy="220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E3" w:rsidRPr="00862AE3"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Trabalenguas tradicional</w:t>
      </w:r>
    </w:p>
    <w:p w14:paraId="34321B7D" w14:textId="2C8C98C5" w:rsidR="00862AE3" w:rsidRPr="00862AE3" w:rsidRDefault="00862AE3" w:rsidP="006A6A75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F426C4" w14:textId="1339470F" w:rsidR="003B3D8D" w:rsidRDefault="003B3D8D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394D01" w14:textId="15653F04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8F446D" w14:textId="50F91AC6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3F1061" w14:textId="77777777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75107E" w14:textId="77777777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FEEF55" w14:textId="2B5D46F5" w:rsidR="00862AE3" w:rsidRDefault="00862AE3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2AE3"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Trabalenguas inventado</w:t>
      </w:r>
      <w:r w:rsidR="00D47FD8"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por alumnas </w:t>
      </w:r>
    </w:p>
    <w:p w14:paraId="634DDBAA" w14:textId="7D1EA1F2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la casa de Aranza </w:t>
      </w:r>
    </w:p>
    <w:p w14:paraId="2C655EB7" w14:textId="77777777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Hay una mesa </w:t>
      </w:r>
    </w:p>
    <w:p w14:paraId="3AC2D0B2" w14:textId="6E76B1BB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esa mesa se amasa masa </w:t>
      </w:r>
    </w:p>
    <w:p w14:paraId="7B173352" w14:textId="7F753F05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Quien la amase </w:t>
      </w:r>
    </w:p>
    <w:p w14:paraId="4FFFA890" w14:textId="22F3A39C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Amasara masa </w:t>
      </w:r>
    </w:p>
    <w:p w14:paraId="1B7D6592" w14:textId="5A8D5588" w:rsidR="006A6A75" w:rsidRDefault="006A6A75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A75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amasa </w:t>
      </w:r>
    </w:p>
    <w:p w14:paraId="10B467DF" w14:textId="77777777" w:rsidR="00833D28" w:rsidRDefault="006A6A75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una taza </w:t>
      </w:r>
    </w:p>
    <w:p w14:paraId="65EF9B35" w14:textId="674D048C" w:rsidR="006A6A75" w:rsidRPr="006A6A75" w:rsidRDefault="006A6A75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que se cose en una braza </w:t>
      </w:r>
    </w:p>
    <w:p w14:paraId="57B1C1DF" w14:textId="77777777" w:rsidR="003B3D8D" w:rsidRDefault="003B3D8D" w:rsidP="00D47FD8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B3D8D" w:rsidSect="003B3D8D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4CFCFC" w:themeColor="accent3" w:themeShade="BF"/>
            <w:left w:val="single" w:sz="24" w:space="24" w:color="4CFCFC" w:themeColor="accent3" w:themeShade="BF"/>
            <w:bottom w:val="single" w:sz="24" w:space="24" w:color="4CFCFC" w:themeColor="accent3" w:themeShade="BF"/>
            <w:right w:val="single" w:sz="24" w:space="24" w:color="4CFCFC" w:themeColor="accent3" w:themeShade="BF"/>
          </w:pgBorders>
          <w:cols w:space="708"/>
          <w:docGrid w:linePitch="360"/>
        </w:sectPr>
      </w:pPr>
    </w:p>
    <w:p w14:paraId="481E6FB3" w14:textId="149C984E" w:rsidR="00B066D1" w:rsidRDefault="00B066D1" w:rsidP="00D47FD8">
      <w:pPr>
        <w:rPr>
          <w:rFonts w:ascii="Modern Love Grunge" w:hAnsi="Modern Love Grunge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dern Love Grunge" w:hAnsi="Modern Love Grunge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Conclusiones</w:t>
      </w:r>
    </w:p>
    <w:p w14:paraId="247DF9E8" w14:textId="2B9123D6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Como conclusiones podemos decir que el crear e investigar un trabalenguas nos dejó muchos </w:t>
      </w:r>
      <w:r w:rsidR="00583FB5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conocimientos,</w:t>
      </w: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así como grandes beneficios que son el </w:t>
      </w:r>
      <w:r w:rsidR="00583FB5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lograr buscar</w:t>
      </w: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 palabras correctas para poder </w:t>
      </w:r>
      <w:r w:rsidR="00583FB5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formar uno, donde se deben de buscar las palabras correctas para lograr que este rime o al menos lleve las palabras adversas.</w:t>
      </w:r>
    </w:p>
    <w:p w14:paraId="19210F24" w14:textId="5C9C59B1" w:rsidR="00583FB5" w:rsidRDefault="00583FB5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investigar los trabalenguas logramos rescatar aspectos importantes como son los beneficios que tienen uno de ellos y que nos llamó la atención fue </w:t>
      </w:r>
      <w:r w:rsidR="00485724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que</w:t>
      </w: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ellos podemos lograr la fluidez del lenguaje en los niños del preescolar, esto es un aspecto de suma importancia ya que los alumnos no logran comunicar las palabras correctas y con este tipo de ejercicios los alumnos lograran un mejor lenguaje.</w:t>
      </w:r>
    </w:p>
    <w:p w14:paraId="46A1F0BF" w14:textId="675689F0" w:rsidR="00583FB5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Así mismo logramos investigar un trabalenguas que llevaremos al jardín y lo pondremos en practica para ver los resultados y rescatar lo que nos sirvió y lo que no. </w:t>
      </w:r>
    </w:p>
    <w:p w14:paraId="7DF6B9FD" w14:textId="2D32D4F9" w:rsidR="00485724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área de oportunidad podemos decir que nos falta mas identificar el tema central del trabalenguas, así como ver sus variantes.</w:t>
      </w:r>
    </w:p>
    <w:p w14:paraId="02078E9C" w14:textId="02EB77A6" w:rsidR="00583FB5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de nuestras fortalezas es que rápidamente logramos tener palabras que concuerden para así poder formarlo-</w:t>
      </w:r>
    </w:p>
    <w:p w14:paraId="75BFD0DB" w14:textId="77777777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3B251" w14:textId="77777777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A6190" w14:textId="1E59DCF2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7DF362" w14:textId="77777777" w:rsidR="00485724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25A12" w14:textId="598C767C" w:rsidR="003B3D8D" w:rsidRPr="00B066D1" w:rsidRDefault="00D47FD8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Rubrica </w:t>
      </w:r>
    </w:p>
    <w:tbl>
      <w:tblPr>
        <w:tblStyle w:val="Tablaconcuadrcula"/>
        <w:tblpPr w:leftFromText="180" w:rightFromText="180" w:vertAnchor="text" w:horzAnchor="margin" w:tblpX="-720" w:tblpY="233"/>
        <w:tblW w:w="14310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409"/>
        <w:gridCol w:w="2268"/>
        <w:gridCol w:w="2410"/>
        <w:gridCol w:w="2835"/>
        <w:gridCol w:w="425"/>
        <w:gridCol w:w="2693"/>
      </w:tblGrid>
      <w:tr w:rsidR="003B3D8D" w14:paraId="222398DD" w14:textId="77777777" w:rsidTr="003B3D8D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9A" w:themeFill="accent1" w:themeFillTint="99"/>
            <w:hideMark/>
          </w:tcPr>
          <w:p w14:paraId="358306E5" w14:textId="77777777" w:rsidR="003B3D8D" w:rsidRDefault="003B3D8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>TEXTO ESCRITO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9A" w:themeFill="accent1" w:themeFillTint="99"/>
          </w:tcPr>
          <w:p w14:paraId="7EAC4AF1" w14:textId="77777777" w:rsidR="003B3D8D" w:rsidRDefault="003B3D8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9A" w:themeFill="accent1" w:themeFillTint="99"/>
          </w:tcPr>
          <w:p w14:paraId="32C3F1E4" w14:textId="77777777" w:rsidR="003B3D8D" w:rsidRDefault="003B3D8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3B3D8D" w14:paraId="659AD58F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261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REFEREN-CIAS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E0A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Cuenta con 3 referencias con formato APA.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F68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Cuenta con 1-2 referencias con formato 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CBB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Cuenta con 1 referencia con formato 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7B5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No cuenta con referencias ni formato APA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0C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E0C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5CDD8821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B66C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CARACTERÏSTICAS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478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Describe ampliamente el concepto del subgénero investigado, el origen, y su relevancia en el desarrollo de la oralidad.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7D93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Describe el concepto del subgénero investigado, el origen y su relevancia en el desarrollo de la oralidad.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5C7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Describe el concepto del subgénero investigado y no considera su relevancia de este tipo del texto en el desarrollo de la oralidad.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EC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No describe el concepto del subgénero ni su relevancia de este tipo del texto en el desarrollo de la oralidad.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0FD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B9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1C6AA983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8E3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04DF2500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CANTIDAD Y CONTENIDO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1DE1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un texto creado y dos investigados.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395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un texto creado y uno investigado.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DC6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un texto creado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6FF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texto investigado o ninguno.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77C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C7B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4E73A038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BD5D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CONCLUSIO</w:t>
            </w:r>
          </w:p>
          <w:p w14:paraId="686E6A28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6468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Las conclusiones presentan ampliamente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EED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Las conclusiones presentan 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1D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Las conclusiones presentan sólo algunas actividades del desarrollo. Presenta sus aprendizajes de manera muy general así como sus fortalezas y áreas de oportunidad.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32A1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Las conclusiones no evidencian la experiencia en la investigación y describen muy poco los aprendizajes adquiridos, las fortalezas y áreas de oportunidad.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AB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86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583C1FA0" w14:textId="77777777" w:rsidTr="003B3D8D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D7FD" w:themeFill="accent6" w:themeFillTint="99"/>
            <w:hideMark/>
          </w:tcPr>
          <w:p w14:paraId="44D66BE5" w14:textId="77777777" w:rsidR="003B3D8D" w:rsidRDefault="003B3D8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EXPOSICIÓN ORAL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D7FD" w:themeFill="accent6" w:themeFillTint="99"/>
          </w:tcPr>
          <w:p w14:paraId="70F60B14" w14:textId="77777777" w:rsidR="003B3D8D" w:rsidRDefault="003B3D8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D7FD" w:themeFill="accent6" w:themeFillTint="99"/>
          </w:tcPr>
          <w:p w14:paraId="2A13E4C5" w14:textId="77777777" w:rsidR="003B3D8D" w:rsidRDefault="003B3D8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  <w:tr w:rsidR="003B3D8D" w14:paraId="0037782C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099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EXPOSICIÓN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7E6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Existe una excelente labor de planificación, se evidencia un ensayo para hacer la exposición.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C71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Se observa la  planificación, se evidencia un ensayo  para hacer la exposición.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053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No existe suficiente planificación y  ensayo  para hacer la exposición.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ED0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No hay planificación  y  ensayo  para hacer la exposición.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492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31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33E45C42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E269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SONORIDAD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95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Pronuncia con claridad el texto creado.</w:t>
            </w:r>
          </w:p>
          <w:p w14:paraId="28B68671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El volumen es acorde al espacio donde se presenta el texto. </w:t>
            </w:r>
          </w:p>
          <w:p w14:paraId="7D50614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Emite con fluidez el texto, dejando pausa según requiera el subgénero preparado.  La entonación transmite el sentido del texto que se presenta.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FC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Casi todo el texto se expresa con claridad.</w:t>
            </w:r>
          </w:p>
          <w:p w14:paraId="3AAD198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altibajos que hacen poco audible el texto.</w:t>
            </w:r>
          </w:p>
          <w:p w14:paraId="1DB9336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Expresa su texto de manera que se entiende casi todo.</w:t>
            </w:r>
          </w:p>
          <w:p w14:paraId="64F5A45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Sólo en algunos momentos se aprecia entonación al decir el texto.</w:t>
            </w:r>
          </w:p>
          <w:p w14:paraId="3EAED16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6C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Se dificulta entender la totalidad de las palabras expresadas.</w:t>
            </w:r>
          </w:p>
          <w:p w14:paraId="0B644612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El volumen de su voz es bajo.</w:t>
            </w:r>
          </w:p>
          <w:p w14:paraId="20E0E45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Se aprecia bastante silencio innecesario al presentar el texto.</w:t>
            </w:r>
          </w:p>
          <w:p w14:paraId="6EA512EE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El texto es monótono en su expresión de emociones.</w:t>
            </w:r>
          </w:p>
          <w:p w14:paraId="4DD4242E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BF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No se entienden las palabras expresadas. </w:t>
            </w:r>
          </w:p>
          <w:p w14:paraId="74A9484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El volumen es demasiado bajo.</w:t>
            </w:r>
          </w:p>
          <w:p w14:paraId="1D46903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No hay fluidez al presentar el texto.</w:t>
            </w:r>
          </w:p>
          <w:p w14:paraId="3716EE9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El texto no presenta emoción alguna </w:t>
            </w:r>
          </w:p>
          <w:p w14:paraId="05CBC63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7A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AA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6C5C30E1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2B8A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MÚSICA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259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406B327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El volumen que se utiliza no interrumpe la presentación del texto.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8958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7D50E2C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El volumen que se utiliza interrumpe la presentación del texto.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2A7E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Se aprecia la música de fondo en el desarrollo del texto y no es acorde al mismo. </w:t>
            </w:r>
          </w:p>
          <w:p w14:paraId="3DDCF10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El volumen que se utiliza interrumpe la presentación del texto.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576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No hay música de fondo.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882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59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6F33A838" w14:textId="77777777" w:rsidTr="003B3D8D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2326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       NOTA:  TODO  TRABAJO PLAGIADO, SERÁ ELIMINADO.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293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CF7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</w:tbl>
    <w:p w14:paraId="2BC95A0A" w14:textId="77777777" w:rsidR="003B3D8D" w:rsidRDefault="003B3D8D" w:rsidP="003B3D8D">
      <w:pPr>
        <w:jc w:val="center"/>
        <w:rPr>
          <w:rFonts w:ascii="Rockwell Extra Bold" w:hAnsi="Rockwell Extra Bold"/>
          <w:b/>
          <w:bCs/>
        </w:rPr>
      </w:pPr>
    </w:p>
    <w:p w14:paraId="66900879" w14:textId="77777777" w:rsidR="003B3D8D" w:rsidRDefault="003B3D8D" w:rsidP="003B3D8D"/>
    <w:p w14:paraId="3EA1F7CD" w14:textId="77777777" w:rsidR="003B3D8D" w:rsidRDefault="003B3D8D" w:rsidP="003B3D8D">
      <w:r>
        <w:t>NOMBRE DE LA COMPAÑERA/ EQUIPO A QUIEN  SE REVISA_____________________________________________________________________</w:t>
      </w:r>
    </w:p>
    <w:p w14:paraId="66AC5840" w14:textId="77777777" w:rsidR="003B3D8D" w:rsidRDefault="003B3D8D" w:rsidP="003B3D8D"/>
    <w:p w14:paraId="7CC274D9" w14:textId="77777777" w:rsidR="003B3D8D" w:rsidRDefault="003B3D8D" w:rsidP="003B3D8D"/>
    <w:p w14:paraId="4B09B4B9" w14:textId="77777777" w:rsidR="003B3D8D" w:rsidRDefault="003B3D8D" w:rsidP="003B3D8D">
      <w:r>
        <w:t>NOMBRE DE LA COMPAÑERA/ EQUIPO COEVALUADOR_________________________________________________________________________</w:t>
      </w:r>
    </w:p>
    <w:p w14:paraId="5967727C" w14:textId="77777777" w:rsidR="003B3D8D" w:rsidRDefault="003B3D8D" w:rsidP="00D47FD8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B3D8D" w:rsidSect="003B3D8D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4CFCFC" w:themeColor="accent3" w:themeShade="BF"/>
            <w:left w:val="single" w:sz="24" w:space="24" w:color="4CFCFC" w:themeColor="accent3" w:themeShade="BF"/>
            <w:bottom w:val="single" w:sz="24" w:space="24" w:color="4CFCFC" w:themeColor="accent3" w:themeShade="BF"/>
            <w:right w:val="single" w:sz="24" w:space="24" w:color="4CFCFC" w:themeColor="accent3" w:themeShade="BF"/>
          </w:pgBorders>
          <w:cols w:space="708"/>
          <w:docGrid w:linePitch="360"/>
        </w:sectPr>
      </w:pPr>
    </w:p>
    <w:p w14:paraId="455012AF" w14:textId="300A9AE9" w:rsidR="003B3D8D" w:rsidRPr="006A6A75" w:rsidRDefault="003B3D8D" w:rsidP="00D47FD8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B3D8D" w:rsidRPr="006A6A75" w:rsidSect="00862AE3">
      <w:pgSz w:w="12240" w:h="15840"/>
      <w:pgMar w:top="1417" w:right="1701" w:bottom="1417" w:left="1701" w:header="708" w:footer="708" w:gutter="0"/>
      <w:pgBorders w:offsetFrom="page">
        <w:top w:val="single" w:sz="24" w:space="24" w:color="4CFCFC" w:themeColor="accent3" w:themeShade="BF"/>
        <w:left w:val="single" w:sz="24" w:space="24" w:color="4CFCFC" w:themeColor="accent3" w:themeShade="BF"/>
        <w:bottom w:val="single" w:sz="24" w:space="24" w:color="4CFCFC" w:themeColor="accent3" w:themeShade="BF"/>
        <w:right w:val="single" w:sz="24" w:space="24" w:color="4CFCF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586B"/>
    <w:multiLevelType w:val="hybridMultilevel"/>
    <w:tmpl w:val="96248E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8715D9"/>
    <w:multiLevelType w:val="multilevel"/>
    <w:tmpl w:val="A34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5951328">
    <w:abstractNumId w:val="0"/>
  </w:num>
  <w:num w:numId="2" w16cid:durableId="183441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E3"/>
    <w:rsid w:val="0001104E"/>
    <w:rsid w:val="00157A58"/>
    <w:rsid w:val="003B3D8D"/>
    <w:rsid w:val="00485724"/>
    <w:rsid w:val="00583FB5"/>
    <w:rsid w:val="006A6A75"/>
    <w:rsid w:val="00833D28"/>
    <w:rsid w:val="00862AE3"/>
    <w:rsid w:val="00A70DD5"/>
    <w:rsid w:val="00B066D1"/>
    <w:rsid w:val="00D47FD8"/>
    <w:rsid w:val="00F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4C4"/>
  <w15:chartTrackingRefBased/>
  <w15:docId w15:val="{EE3703C7-952C-4323-9D45-0E2EAA59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E3"/>
  </w:style>
  <w:style w:type="paragraph" w:styleId="Ttulo2">
    <w:name w:val="heading 2"/>
    <w:basedOn w:val="Normal"/>
    <w:link w:val="Ttulo2Car"/>
    <w:uiPriority w:val="9"/>
    <w:qFormat/>
    <w:rsid w:val="00F12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3D8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1104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110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127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aliteracion/" TargetMode="External" /><Relationship Id="rId13" Type="http://schemas.openxmlformats.org/officeDocument/2006/relationships/hyperlink" Target="https://concepto.de/cultura-griega/" TargetMode="External" /><Relationship Id="rId18" Type="http://schemas.openxmlformats.org/officeDocument/2006/relationships/image" Target="media/image2.pn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s://concepto.de/rima/" TargetMode="External" /><Relationship Id="rId12" Type="http://schemas.openxmlformats.org/officeDocument/2006/relationships/hyperlink" Target="https://concepto.de/historia/" TargetMode="External" /><Relationship Id="rId17" Type="http://schemas.openxmlformats.org/officeDocument/2006/relationships/hyperlink" Target="https://concepto.de/cultura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concepto.de/palabras/" TargetMode="Externa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concepto.de/oracion/" TargetMode="External" /><Relationship Id="rId11" Type="http://schemas.openxmlformats.org/officeDocument/2006/relationships/hyperlink" Target="https://concepto.de/docente/" TargetMode="External" /><Relationship Id="rId5" Type="http://schemas.openxmlformats.org/officeDocument/2006/relationships/image" Target="media/image1.gif" /><Relationship Id="rId15" Type="http://schemas.openxmlformats.org/officeDocument/2006/relationships/hyperlink" Target="https://concepto.de/sonido/" TargetMode="External" /><Relationship Id="rId10" Type="http://schemas.openxmlformats.org/officeDocument/2006/relationships/hyperlink" Target="https://concepto.de/idioma/" TargetMode="External" /><Relationship Id="rId19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https://concepto.de/habla/" TargetMode="External" /><Relationship Id="rId14" Type="http://schemas.openxmlformats.org/officeDocument/2006/relationships/hyperlink" Target="https://concepto.de/fonema/" TargetMode="External" /></Relationships>
</file>

<file path=word/theme/theme1.xml><?xml version="1.0" encoding="utf-8"?>
<a:theme xmlns:a="http://schemas.openxmlformats.org/drawingml/2006/main" name="Tema de Office">
  <a:themeElements>
    <a:clrScheme name="stabilo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7BE57"/>
      </a:accent1>
      <a:accent2>
        <a:srgbClr val="FF9AE8"/>
      </a:accent2>
      <a:accent3>
        <a:srgbClr val="BAFEFE"/>
      </a:accent3>
      <a:accent4>
        <a:srgbClr val="9D64E2"/>
      </a:accent4>
      <a:accent5>
        <a:srgbClr val="F8B6A8"/>
      </a:accent5>
      <a:accent6>
        <a:srgbClr val="3CBEFC"/>
      </a:accent6>
      <a:hlink>
        <a:srgbClr val="E4879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eduardo cepeda lopez</cp:lastModifiedBy>
  <cp:revision>2</cp:revision>
  <dcterms:created xsi:type="dcterms:W3CDTF">2022-05-04T03:04:00Z</dcterms:created>
  <dcterms:modified xsi:type="dcterms:W3CDTF">2022-05-04T03:04:00Z</dcterms:modified>
</cp:coreProperties>
</file>