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88A9" w14:textId="77777777" w:rsidR="00F36172" w:rsidRPr="00062CDE" w:rsidRDefault="00F36172" w:rsidP="00F36172">
      <w:pPr>
        <w:spacing w:line="256" w:lineRule="auto"/>
        <w:jc w:val="center"/>
        <w:rPr>
          <w:sz w:val="28"/>
          <w:szCs w:val="28"/>
        </w:rPr>
      </w:pPr>
      <w:r w:rsidRPr="00062CDE">
        <w:rPr>
          <w:noProof/>
        </w:rPr>
        <w:drawing>
          <wp:anchor distT="0" distB="0" distL="114300" distR="114300" simplePos="0" relativeHeight="251659264" behindDoc="1" locked="0" layoutInCell="1" allowOverlap="1" wp14:anchorId="566E255E" wp14:editId="5A9C7C56">
            <wp:simplePos x="0" y="0"/>
            <wp:positionH relativeFrom="margin">
              <wp:posOffset>4758962</wp:posOffset>
            </wp:positionH>
            <wp:positionV relativeFrom="paragraph">
              <wp:posOffset>202</wp:posOffset>
            </wp:positionV>
            <wp:extent cx="1071154" cy="1415939"/>
            <wp:effectExtent l="0" t="0" r="0" b="0"/>
            <wp:wrapTight wrapText="bothSides">
              <wp:wrapPolygon edited="0">
                <wp:start x="0" y="0"/>
                <wp:lineTo x="0" y="17443"/>
                <wp:lineTo x="1537" y="18896"/>
                <wp:lineTo x="1537" y="19478"/>
                <wp:lineTo x="7687" y="21222"/>
                <wp:lineTo x="9993" y="21222"/>
                <wp:lineTo x="11915" y="21222"/>
                <wp:lineTo x="13452" y="21222"/>
                <wp:lineTo x="19217" y="19478"/>
                <wp:lineTo x="19217" y="18896"/>
                <wp:lineTo x="21139" y="17152"/>
                <wp:lineTo x="21139" y="0"/>
                <wp:lineTo x="0" y="0"/>
              </wp:wrapPolygon>
            </wp:wrapTight>
            <wp:docPr id="1" name="Imagen 1" descr="Un letrero de color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letrero de color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975" cy="142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2CDE">
        <w:rPr>
          <w:rFonts w:ascii="Times New Roman" w:eastAsia="Times New Roman" w:hAnsi="Times New Roman" w:cs="Times New Roman"/>
          <w:b/>
          <w:bCs/>
          <w:sz w:val="36"/>
          <w:szCs w:val="36"/>
        </w:rPr>
        <w:t>ESCUELA NORMAL DE EDUCACIÓN PREESCOLAR</w:t>
      </w:r>
    </w:p>
    <w:p w14:paraId="23837E9B" w14:textId="77777777" w:rsidR="00F36172" w:rsidRPr="00062CDE" w:rsidRDefault="00F36172" w:rsidP="00F36172">
      <w:pPr>
        <w:spacing w:line="25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62CDE">
        <w:rPr>
          <w:rFonts w:ascii="Times New Roman" w:eastAsia="Times New Roman" w:hAnsi="Times New Roman" w:cs="Times New Roman"/>
          <w:sz w:val="24"/>
          <w:szCs w:val="24"/>
        </w:rPr>
        <w:t>LICENCIATURA EN EDUCACIÓN PREESCOLAR</w:t>
      </w:r>
    </w:p>
    <w:p w14:paraId="069CD787" w14:textId="77777777" w:rsidR="00F36172" w:rsidRPr="00062CDE" w:rsidRDefault="00F36172" w:rsidP="00F36172">
      <w:pPr>
        <w:spacing w:line="256" w:lineRule="auto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4A051A01" w14:textId="06E920E6" w:rsidR="00F36172" w:rsidRPr="00062CDE" w:rsidRDefault="00F36172" w:rsidP="00F36172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062CDE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E</w:t>
      </w:r>
      <w:r w:rsidR="00FB145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N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u w:val="single"/>
        </w:rPr>
        <w:t>SEÑANZA SITUADA</w:t>
      </w:r>
    </w:p>
    <w:p w14:paraId="40C36889" w14:textId="77777777" w:rsidR="00F36172" w:rsidRPr="00062CDE" w:rsidRDefault="00F36172" w:rsidP="00F36172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38E373F" w14:textId="77777777" w:rsidR="00F36172" w:rsidRPr="00062CDE" w:rsidRDefault="00F36172" w:rsidP="00F36172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ESTRATEGIAS DE TRABAJO DOCENTE</w:t>
      </w:r>
    </w:p>
    <w:p w14:paraId="21EA3FCF" w14:textId="77777777" w:rsidR="00F36172" w:rsidRPr="00062CDE" w:rsidRDefault="00F36172" w:rsidP="00F36172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329EAC76" w14:textId="77777777" w:rsidR="00F36172" w:rsidRPr="00F36172" w:rsidRDefault="00F36172" w:rsidP="00F36172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3617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DOCENTE: </w:t>
      </w:r>
      <w:r w:rsidRPr="00F36172">
        <w:rPr>
          <w:rFonts w:ascii="Times New Roman" w:eastAsia="Times New Roman" w:hAnsi="Times New Roman" w:cs="Times New Roman"/>
          <w:sz w:val="36"/>
          <w:szCs w:val="36"/>
        </w:rPr>
        <w:t>EDITH ARACELI MARTINEZ SILVA</w:t>
      </w:r>
    </w:p>
    <w:p w14:paraId="0C4AF08E" w14:textId="77777777" w:rsidR="00F36172" w:rsidRPr="00F36172" w:rsidRDefault="00F36172" w:rsidP="00F36172">
      <w:pPr>
        <w:spacing w:line="256" w:lineRule="auto"/>
        <w:rPr>
          <w:rFonts w:ascii="Times New Roman" w:eastAsia="Times New Roman" w:hAnsi="Times New Roman" w:cs="Times New Roman"/>
          <w:sz w:val="36"/>
          <w:szCs w:val="36"/>
        </w:rPr>
      </w:pPr>
    </w:p>
    <w:p w14:paraId="31FB2837" w14:textId="77777777" w:rsidR="00F36172" w:rsidRPr="00062CDE" w:rsidRDefault="00F36172" w:rsidP="00F36172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62CDE">
        <w:rPr>
          <w:rFonts w:ascii="Times New Roman" w:eastAsia="Times New Roman" w:hAnsi="Times New Roman" w:cs="Times New Roman"/>
          <w:b/>
          <w:bCs/>
          <w:sz w:val="36"/>
          <w:szCs w:val="36"/>
        </w:rPr>
        <w:t>ALUMNA:</w:t>
      </w:r>
      <w:r w:rsidRPr="00062CDE">
        <w:rPr>
          <w:rFonts w:ascii="Times New Roman" w:eastAsia="Times New Roman" w:hAnsi="Times New Roman" w:cs="Times New Roman"/>
          <w:sz w:val="36"/>
          <w:szCs w:val="36"/>
        </w:rPr>
        <w:t xml:space="preserve"> MARIANA GUADALUPE VALDÉS JIMÉNEZ</w:t>
      </w:r>
    </w:p>
    <w:p w14:paraId="0B429B67" w14:textId="77777777" w:rsidR="00F36172" w:rsidRPr="00062CDE" w:rsidRDefault="00F36172" w:rsidP="00F36172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15507498" w14:textId="77777777" w:rsidR="00F36172" w:rsidRPr="00062CDE" w:rsidRDefault="00F36172" w:rsidP="00F36172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62CDE">
        <w:rPr>
          <w:rFonts w:ascii="Times New Roman" w:eastAsia="Times New Roman" w:hAnsi="Times New Roman" w:cs="Times New Roman"/>
          <w:sz w:val="36"/>
          <w:szCs w:val="36"/>
        </w:rPr>
        <w:t xml:space="preserve">4° SEMESTRE    SECCIÓN: “B’’            </w:t>
      </w:r>
    </w:p>
    <w:p w14:paraId="4A95AB35" w14:textId="77777777" w:rsidR="00F36172" w:rsidRPr="00062CDE" w:rsidRDefault="00F36172" w:rsidP="00F36172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62CDE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Pr="00062CDE">
        <w:rPr>
          <w:rFonts w:ascii="Times New Roman" w:eastAsia="Times New Roman" w:hAnsi="Times New Roman" w:cs="Times New Roman"/>
          <w:sz w:val="36"/>
          <w:szCs w:val="36"/>
        </w:rPr>
        <w:t>N°</w:t>
      </w:r>
      <w:proofErr w:type="spellEnd"/>
      <w:r w:rsidRPr="00062CDE">
        <w:rPr>
          <w:rFonts w:ascii="Times New Roman" w:eastAsia="Times New Roman" w:hAnsi="Times New Roman" w:cs="Times New Roman"/>
          <w:sz w:val="36"/>
          <w:szCs w:val="36"/>
        </w:rPr>
        <w:t xml:space="preserve"> 23</w:t>
      </w:r>
    </w:p>
    <w:p w14:paraId="6AD5EEBC" w14:textId="77777777" w:rsidR="00F36172" w:rsidRPr="00062CDE" w:rsidRDefault="00F36172" w:rsidP="00F36172">
      <w:pPr>
        <w:spacing w:line="256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2C34A460" w14:textId="77777777" w:rsidR="00F36172" w:rsidRPr="00062CDE" w:rsidRDefault="00F36172" w:rsidP="00F36172">
      <w:pPr>
        <w:spacing w:line="256" w:lineRule="auto"/>
        <w:jc w:val="right"/>
        <w:rPr>
          <w:rFonts w:ascii="Times New Roman" w:eastAsia="Times New Roman" w:hAnsi="Times New Roman" w:cs="Times New Roman"/>
        </w:rPr>
      </w:pPr>
    </w:p>
    <w:p w14:paraId="7A92B6EF" w14:textId="77777777" w:rsidR="00F36172" w:rsidRPr="00062CDE" w:rsidRDefault="00F36172" w:rsidP="00F36172">
      <w:pPr>
        <w:spacing w:line="256" w:lineRule="auto"/>
        <w:jc w:val="right"/>
        <w:rPr>
          <w:rFonts w:ascii="Times New Roman" w:eastAsia="Times New Roman" w:hAnsi="Times New Roman" w:cs="Times New Roman"/>
        </w:rPr>
      </w:pPr>
    </w:p>
    <w:p w14:paraId="6980FAA3" w14:textId="77777777" w:rsidR="00F36172" w:rsidRPr="00062CDE" w:rsidRDefault="00F36172" w:rsidP="00F36172">
      <w:pPr>
        <w:spacing w:line="256" w:lineRule="auto"/>
        <w:jc w:val="right"/>
        <w:rPr>
          <w:rFonts w:ascii="Times New Roman" w:eastAsia="Times New Roman" w:hAnsi="Times New Roman" w:cs="Times New Roman"/>
        </w:rPr>
      </w:pPr>
    </w:p>
    <w:p w14:paraId="141C3D52" w14:textId="77777777" w:rsidR="00F36172" w:rsidRPr="00062CDE" w:rsidRDefault="00F36172" w:rsidP="00F36172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69412B" w14:textId="77777777" w:rsidR="00F36172" w:rsidRPr="00062CDE" w:rsidRDefault="00F36172" w:rsidP="00F36172">
      <w:pPr>
        <w:spacing w:line="256" w:lineRule="auto"/>
        <w:jc w:val="right"/>
        <w:rPr>
          <w:rFonts w:ascii="Times New Roman" w:eastAsia="Times New Roman" w:hAnsi="Times New Roman" w:cs="Times New Roman"/>
        </w:rPr>
      </w:pPr>
    </w:p>
    <w:p w14:paraId="52F5C1F2" w14:textId="77777777" w:rsidR="00F36172" w:rsidRPr="00062CDE" w:rsidRDefault="00F36172" w:rsidP="00F36172">
      <w:pPr>
        <w:spacing w:line="256" w:lineRule="auto"/>
        <w:jc w:val="right"/>
        <w:rPr>
          <w:rFonts w:ascii="Times New Roman" w:eastAsia="Times New Roman" w:hAnsi="Times New Roman" w:cs="Times New Roman"/>
        </w:rPr>
      </w:pPr>
    </w:p>
    <w:p w14:paraId="391E4B03" w14:textId="77777777" w:rsidR="00F36172" w:rsidRPr="00062CDE" w:rsidRDefault="00F36172" w:rsidP="00F36172">
      <w:pPr>
        <w:spacing w:line="256" w:lineRule="auto"/>
        <w:jc w:val="right"/>
        <w:rPr>
          <w:rFonts w:ascii="Times New Roman" w:eastAsia="Times New Roman" w:hAnsi="Times New Roman" w:cs="Times New Roman"/>
        </w:rPr>
      </w:pPr>
    </w:p>
    <w:p w14:paraId="5A3093B8" w14:textId="77777777" w:rsidR="00F36172" w:rsidRPr="00062CDE" w:rsidRDefault="00F36172" w:rsidP="00F36172">
      <w:pPr>
        <w:spacing w:line="256" w:lineRule="auto"/>
        <w:jc w:val="right"/>
        <w:rPr>
          <w:rFonts w:ascii="Times New Roman" w:eastAsia="Times New Roman" w:hAnsi="Times New Roman" w:cs="Times New Roman"/>
        </w:rPr>
      </w:pPr>
    </w:p>
    <w:p w14:paraId="149FEDB0" w14:textId="2CABB85A" w:rsidR="00F36172" w:rsidRPr="00474034" w:rsidRDefault="00F36172" w:rsidP="00F36172">
      <w:pPr>
        <w:spacing w:after="0"/>
        <w:jc w:val="right"/>
        <w:rPr>
          <w:rFonts w:cstheme="minorHAnsi"/>
        </w:rPr>
      </w:pPr>
      <w:r w:rsidRPr="00062CDE">
        <w:rPr>
          <w:rFonts w:ascii="Times New Roman" w:eastAsia="Times New Roman" w:hAnsi="Times New Roman" w:cs="Times New Roman"/>
        </w:rPr>
        <w:t xml:space="preserve">SALTILLO COAHUILA A </w:t>
      </w:r>
      <w:r>
        <w:rPr>
          <w:rFonts w:ascii="Times New Roman" w:eastAsia="Times New Roman" w:hAnsi="Times New Roman" w:cs="Times New Roman"/>
        </w:rPr>
        <w:t>10 DE JUNIO</w:t>
      </w:r>
      <w:r w:rsidRPr="00062CDE">
        <w:rPr>
          <w:rFonts w:ascii="Times New Roman" w:eastAsia="Times New Roman" w:hAnsi="Times New Roman" w:cs="Times New Roman"/>
        </w:rPr>
        <w:t xml:space="preserve"> DE 2022</w:t>
      </w:r>
    </w:p>
    <w:p w14:paraId="3EFA883A" w14:textId="5E914C71" w:rsidR="002C267E" w:rsidRDefault="00F36172" w:rsidP="00F3617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B1450">
        <w:rPr>
          <w:rFonts w:ascii="Arial" w:hAnsi="Arial" w:cs="Arial"/>
          <w:b/>
          <w:bCs/>
          <w:sz w:val="24"/>
          <w:szCs w:val="24"/>
        </w:rPr>
        <w:lastRenderedPageBreak/>
        <w:t>Enseñanza situada.</w:t>
      </w:r>
    </w:p>
    <w:p w14:paraId="7006FF2D" w14:textId="77777777" w:rsidR="00FB1450" w:rsidRDefault="00FB1450" w:rsidP="00FB145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Educación democrática: es una actividad humana en y para la democracia.</w:t>
      </w:r>
    </w:p>
    <w:p w14:paraId="577856C2" w14:textId="77777777" w:rsidR="00FB1450" w:rsidRDefault="00FB1450" w:rsidP="00FB145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Educación científica: considera la formación científica de niños y jóvenes a través de la experimentación y la aplicación del método científico. </w:t>
      </w:r>
    </w:p>
    <w:p w14:paraId="3EA54298" w14:textId="77777777" w:rsidR="00FB1450" w:rsidRDefault="00FB1450" w:rsidP="00FB145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Educación pragmática: centrada en las experiencias como prueba del conocimiento mediante el hacer y experimentar.</w:t>
      </w:r>
    </w:p>
    <w:p w14:paraId="072E754E" w14:textId="72EA93F3" w:rsidR="00FB1450" w:rsidRDefault="00FB1450" w:rsidP="00FB145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Educación progresiva: la experiencia educativa es una reconstrucción constante, lo que permite al alumno progresar, avanzar y profundizar en el conocimiento.</w:t>
      </w:r>
    </w:p>
    <w:p w14:paraId="7CE4642F" w14:textId="77777777" w:rsidR="00FB1450" w:rsidRPr="00FB1450" w:rsidRDefault="00FB1450" w:rsidP="00FB145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B1450">
        <w:rPr>
          <w:rFonts w:ascii="Arial" w:hAnsi="Arial" w:cs="Arial"/>
          <w:sz w:val="24"/>
        </w:rPr>
        <w:t>Dewey funda la "escuela experimental" o "escuela laboratorio" que lleva su nombre, la cual se sustenta en:</w:t>
      </w:r>
    </w:p>
    <w:p w14:paraId="60E46199" w14:textId="55A25827" w:rsidR="00FB1450" w:rsidRPr="00FB1450" w:rsidRDefault="00FB1450" w:rsidP="00FB145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B1450">
        <w:rPr>
          <w:rFonts w:ascii="Arial" w:hAnsi="Arial" w:cs="Arial"/>
          <w:sz w:val="24"/>
        </w:rPr>
        <w:t>Las teorías psicológicas.</w:t>
      </w:r>
    </w:p>
    <w:p w14:paraId="3481149B" w14:textId="501CC5A8" w:rsidR="00FB1450" w:rsidRPr="00FB1450" w:rsidRDefault="00FB1450" w:rsidP="00FB145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B1450">
        <w:rPr>
          <w:rFonts w:ascii="Arial" w:hAnsi="Arial" w:cs="Arial"/>
          <w:sz w:val="24"/>
        </w:rPr>
        <w:t>Los principios morales básicos de las actividades cooperativas.</w:t>
      </w:r>
    </w:p>
    <w:p w14:paraId="570058F9" w14:textId="7AD790AD" w:rsidR="00FB1450" w:rsidRPr="00FB1450" w:rsidRDefault="00FB1450" w:rsidP="00FB145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B1450">
        <w:rPr>
          <w:rFonts w:ascii="Arial" w:hAnsi="Arial" w:cs="Arial"/>
          <w:sz w:val="24"/>
        </w:rPr>
        <w:t>Las necesidades e intereses de los niños y jóvenes.</w:t>
      </w:r>
    </w:p>
    <w:p w14:paraId="43621A0E" w14:textId="3AD62419" w:rsidR="00FB1450" w:rsidRPr="00FB1450" w:rsidRDefault="00FB1450" w:rsidP="00FB145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B1450">
        <w:rPr>
          <w:rFonts w:ascii="Arial" w:hAnsi="Arial" w:cs="Arial"/>
          <w:sz w:val="24"/>
        </w:rPr>
        <w:t>La aplicación del "método del problema" (lógico, ético y empírico).</w:t>
      </w:r>
    </w:p>
    <w:p w14:paraId="258E5D82" w14:textId="4433B89C" w:rsidR="00FB1450" w:rsidRPr="00FB1450" w:rsidRDefault="00FB1450" w:rsidP="00FB145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B1450">
        <w:rPr>
          <w:rFonts w:ascii="Arial" w:hAnsi="Arial" w:cs="Arial"/>
          <w:sz w:val="24"/>
        </w:rPr>
        <w:t>La experiencia centrada en los ambientes físico y social.</w:t>
      </w:r>
    </w:p>
    <w:p w14:paraId="2C3AB71B" w14:textId="0F3E173C" w:rsidR="00FB1450" w:rsidRPr="00FB1450" w:rsidRDefault="00FB1450" w:rsidP="00FB1450">
      <w:pPr>
        <w:pStyle w:val="Prrafodelista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FB1450">
        <w:rPr>
          <w:rFonts w:ascii="Arial" w:hAnsi="Arial" w:cs="Arial"/>
          <w:sz w:val="24"/>
        </w:rPr>
        <w:t>El establecimiento del vínculo entre saber y saber hacer.</w:t>
      </w:r>
    </w:p>
    <w:p w14:paraId="29E6AE2F" w14:textId="359EF588" w:rsidR="00F36172" w:rsidRPr="00FB1450" w:rsidRDefault="00F36172" w:rsidP="00F361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>Las formas de acción que se derivan del proceso</w:t>
      </w:r>
      <w:r w:rsidRPr="00FB1450">
        <w:rPr>
          <w:rFonts w:ascii="Arial" w:hAnsi="Arial" w:cs="Arial"/>
          <w:sz w:val="24"/>
          <w:szCs w:val="24"/>
        </w:rPr>
        <w:t xml:space="preserve"> </w:t>
      </w:r>
      <w:r w:rsidRPr="00FB1450">
        <w:rPr>
          <w:rFonts w:ascii="Arial" w:hAnsi="Arial" w:cs="Arial"/>
          <w:sz w:val="24"/>
          <w:szCs w:val="24"/>
        </w:rPr>
        <w:t>reflexivo de un docente se enfocan en las situaciones-problema relevantes</w:t>
      </w:r>
      <w:r w:rsidRPr="00FB1450">
        <w:rPr>
          <w:rFonts w:ascii="Arial" w:hAnsi="Arial" w:cs="Arial"/>
          <w:sz w:val="24"/>
          <w:szCs w:val="24"/>
        </w:rPr>
        <w:t xml:space="preserve"> </w:t>
      </w:r>
      <w:r w:rsidRPr="00FB1450">
        <w:rPr>
          <w:rFonts w:ascii="Arial" w:hAnsi="Arial" w:cs="Arial"/>
          <w:sz w:val="24"/>
          <w:szCs w:val="24"/>
        </w:rPr>
        <w:t>para él y sus alumnos en su espacio de enseñanza, y a plantear respuestas innovadoras y pertinentes para atenderlos</w:t>
      </w:r>
    </w:p>
    <w:p w14:paraId="01309190" w14:textId="56CC16DA" w:rsidR="00F36172" w:rsidRPr="00FB1450" w:rsidRDefault="00F36172" w:rsidP="00F361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>Los profesores responden la interrogante" ¿Qué hago?" a fin</w:t>
      </w:r>
      <w:r w:rsidRPr="00FB1450">
        <w:rPr>
          <w:rFonts w:ascii="Arial" w:hAnsi="Arial" w:cs="Arial"/>
          <w:sz w:val="24"/>
          <w:szCs w:val="24"/>
        </w:rPr>
        <w:t xml:space="preserve"> </w:t>
      </w:r>
      <w:r w:rsidRPr="00FB1450">
        <w:rPr>
          <w:rFonts w:ascii="Arial" w:hAnsi="Arial" w:cs="Arial"/>
          <w:sz w:val="24"/>
          <w:szCs w:val="24"/>
        </w:rPr>
        <w:t>de describir su práctica, hacerla consciente, accesible, y revelar su significado</w:t>
      </w:r>
      <w:r w:rsidRPr="00FB1450">
        <w:rPr>
          <w:rFonts w:ascii="Arial" w:hAnsi="Arial" w:cs="Arial"/>
          <w:sz w:val="24"/>
          <w:szCs w:val="24"/>
        </w:rPr>
        <w:t xml:space="preserve"> </w:t>
      </w:r>
      <w:r w:rsidRPr="00FB1450">
        <w:rPr>
          <w:rFonts w:ascii="Arial" w:hAnsi="Arial" w:cs="Arial"/>
          <w:sz w:val="24"/>
          <w:szCs w:val="24"/>
        </w:rPr>
        <w:t>en</w:t>
      </w:r>
      <w:r w:rsidRPr="00FB1450">
        <w:rPr>
          <w:rFonts w:ascii="Arial" w:hAnsi="Arial" w:cs="Arial"/>
          <w:sz w:val="24"/>
          <w:szCs w:val="24"/>
        </w:rPr>
        <w:t xml:space="preserve"> </w:t>
      </w:r>
      <w:r w:rsidRPr="00FB1450">
        <w:rPr>
          <w:rFonts w:ascii="Arial" w:hAnsi="Arial" w:cs="Arial"/>
          <w:sz w:val="24"/>
          <w:szCs w:val="24"/>
        </w:rPr>
        <w:t>estrecha relación con la situación problema de interés</w:t>
      </w:r>
    </w:p>
    <w:p w14:paraId="1C36F579" w14:textId="10C08596" w:rsidR="00F36172" w:rsidRPr="00FB1450" w:rsidRDefault="00F36172" w:rsidP="00F361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 xml:space="preserve">La cuestión orientadora de la acción es "¿Qué significa esto?", </w:t>
      </w:r>
      <w:r w:rsidRPr="00FB1450">
        <w:rPr>
          <w:rFonts w:ascii="Arial" w:hAnsi="Arial" w:cs="Arial"/>
          <w:sz w:val="24"/>
          <w:szCs w:val="24"/>
        </w:rPr>
        <w:t xml:space="preserve">y </w:t>
      </w:r>
      <w:r w:rsidRPr="00FB1450">
        <w:rPr>
          <w:rFonts w:ascii="Arial" w:hAnsi="Arial" w:cs="Arial"/>
          <w:sz w:val="24"/>
          <w:szCs w:val="24"/>
        </w:rPr>
        <w:t xml:space="preserve">el docente se enfrenta a los porqués y </w:t>
      </w:r>
      <w:r w:rsidRPr="00FB1450">
        <w:rPr>
          <w:rFonts w:ascii="Arial" w:hAnsi="Arial" w:cs="Arial"/>
          <w:sz w:val="24"/>
          <w:szCs w:val="24"/>
        </w:rPr>
        <w:t>cómo</w:t>
      </w:r>
      <w:r w:rsidRPr="00FB1450">
        <w:rPr>
          <w:rFonts w:ascii="Arial" w:hAnsi="Arial" w:cs="Arial"/>
          <w:sz w:val="24"/>
          <w:szCs w:val="24"/>
        </w:rPr>
        <w:t xml:space="preserve"> de su práctica como enseñante.</w:t>
      </w:r>
    </w:p>
    <w:p w14:paraId="44D18FAD" w14:textId="1FFEBB54" w:rsidR="00F36172" w:rsidRPr="00FB1450" w:rsidRDefault="00F36172" w:rsidP="00F36172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 xml:space="preserve">En la valoración los profesores desear explicar, constatar y </w:t>
      </w:r>
      <w:r w:rsidR="00CA51E3" w:rsidRPr="00FB1450">
        <w:rPr>
          <w:rFonts w:ascii="Arial" w:hAnsi="Arial" w:cs="Arial"/>
          <w:sz w:val="24"/>
          <w:szCs w:val="24"/>
        </w:rPr>
        <w:t>confrontarse</w:t>
      </w:r>
      <w:r w:rsidRPr="00FB1450">
        <w:rPr>
          <w:rFonts w:ascii="Arial" w:hAnsi="Arial" w:cs="Arial"/>
          <w:sz w:val="24"/>
          <w:szCs w:val="24"/>
        </w:rPr>
        <w:t xml:space="preserve"> ideas y prácticas en el contexto educativo y curricular que les es propio</w:t>
      </w:r>
    </w:p>
    <w:p w14:paraId="0A6545CF" w14:textId="1CC2FC5F" w:rsidR="00CA51E3" w:rsidRPr="00FB1450" w:rsidRDefault="00CA51E3" w:rsidP="00CA51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 xml:space="preserve">En la </w:t>
      </w:r>
      <w:r w:rsidRPr="00FB1450">
        <w:rPr>
          <w:rFonts w:ascii="Arial" w:hAnsi="Arial" w:cs="Arial"/>
          <w:sz w:val="24"/>
          <w:szCs w:val="24"/>
        </w:rPr>
        <w:t>reconstrucción culmina</w:t>
      </w:r>
      <w:r w:rsidRPr="00FB1450">
        <w:rPr>
          <w:rFonts w:ascii="Arial" w:hAnsi="Arial" w:cs="Arial"/>
          <w:sz w:val="24"/>
          <w:szCs w:val="24"/>
        </w:rPr>
        <w:t xml:space="preserve"> el ciclo reflexivo, y aunque en cierta forma</w:t>
      </w:r>
      <w:r w:rsidRPr="00FB1450">
        <w:rPr>
          <w:rFonts w:ascii="Arial" w:hAnsi="Arial" w:cs="Arial"/>
          <w:sz w:val="24"/>
          <w:szCs w:val="24"/>
        </w:rPr>
        <w:t xml:space="preserve"> </w:t>
      </w:r>
      <w:r w:rsidRPr="00FB1450">
        <w:rPr>
          <w:rFonts w:ascii="Arial" w:hAnsi="Arial" w:cs="Arial"/>
          <w:sz w:val="24"/>
          <w:szCs w:val="24"/>
        </w:rPr>
        <w:t>está presente a lo largo de las demás, se centra en la cuestión" ¿Cómo podría hace</w:t>
      </w:r>
      <w:r w:rsidRPr="00FB1450">
        <w:rPr>
          <w:rFonts w:ascii="Arial" w:hAnsi="Arial" w:cs="Arial"/>
          <w:sz w:val="24"/>
          <w:szCs w:val="24"/>
        </w:rPr>
        <w:t>r?</w:t>
      </w:r>
    </w:p>
    <w:p w14:paraId="3A62AFB3" w14:textId="0573A765" w:rsidR="00CA51E3" w:rsidRPr="00FB1450" w:rsidRDefault="00CA51E3" w:rsidP="00CA51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>César Coll (2001) considera como fuentes principales de la visión constructivista</w:t>
      </w:r>
      <w:r w:rsidRPr="00FB1450">
        <w:rPr>
          <w:rFonts w:ascii="Arial" w:hAnsi="Arial" w:cs="Arial"/>
          <w:sz w:val="24"/>
          <w:szCs w:val="24"/>
        </w:rPr>
        <w:t xml:space="preserve"> </w:t>
      </w:r>
      <w:r w:rsidRPr="00FB1450">
        <w:rPr>
          <w:rFonts w:ascii="Arial" w:hAnsi="Arial" w:cs="Arial"/>
          <w:sz w:val="24"/>
          <w:szCs w:val="24"/>
        </w:rPr>
        <w:t>de los procesos de enseñanza y aprendizaje escolares a distintos planteamientos</w:t>
      </w:r>
      <w:r w:rsidRPr="00FB1450">
        <w:rPr>
          <w:rFonts w:ascii="Arial" w:hAnsi="Arial" w:cs="Arial"/>
          <w:sz w:val="24"/>
          <w:szCs w:val="24"/>
        </w:rPr>
        <w:t xml:space="preserve"> </w:t>
      </w:r>
      <w:r w:rsidRPr="00FB1450">
        <w:rPr>
          <w:rFonts w:ascii="Arial" w:hAnsi="Arial" w:cs="Arial"/>
          <w:sz w:val="24"/>
          <w:szCs w:val="24"/>
        </w:rPr>
        <w:t>derivados de la psicología genética, del cognoscitivismo y de la teoría sociocultural</w:t>
      </w:r>
    </w:p>
    <w:p w14:paraId="40E9825E" w14:textId="591C19CB" w:rsidR="00CA51E3" w:rsidRPr="00FB1450" w:rsidRDefault="00CA51E3" w:rsidP="00CA51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lastRenderedPageBreak/>
        <w:t>L</w:t>
      </w:r>
      <w:r w:rsidRPr="00FB1450">
        <w:rPr>
          <w:rFonts w:ascii="Arial" w:hAnsi="Arial" w:cs="Arial"/>
          <w:sz w:val="24"/>
          <w:szCs w:val="24"/>
        </w:rPr>
        <w:t>a clave de los procesos formales y escolares de enseñanza y aprendizaje reside en</w:t>
      </w:r>
      <w:r w:rsidRPr="00FB1450">
        <w:rPr>
          <w:rFonts w:ascii="Arial" w:hAnsi="Arial" w:cs="Arial"/>
          <w:sz w:val="24"/>
          <w:szCs w:val="24"/>
        </w:rPr>
        <w:t xml:space="preserve"> </w:t>
      </w:r>
      <w:r w:rsidRPr="00FB1450">
        <w:rPr>
          <w:rFonts w:ascii="Arial" w:hAnsi="Arial" w:cs="Arial"/>
          <w:sz w:val="24"/>
          <w:szCs w:val="24"/>
        </w:rPr>
        <w:t>las relaciones al interior del llamado triángulo interactivo o triángulo didáctico: la</w:t>
      </w:r>
      <w:r w:rsidRPr="00FB1450">
        <w:rPr>
          <w:rFonts w:ascii="Arial" w:hAnsi="Arial" w:cs="Arial"/>
          <w:sz w:val="24"/>
          <w:szCs w:val="24"/>
        </w:rPr>
        <w:t xml:space="preserve"> </w:t>
      </w:r>
      <w:r w:rsidRPr="00FB1450">
        <w:rPr>
          <w:rFonts w:ascii="Arial" w:hAnsi="Arial" w:cs="Arial"/>
          <w:sz w:val="24"/>
          <w:szCs w:val="24"/>
        </w:rPr>
        <w:t>actividad educativa del profesor, las actividades de aprendizaje de los alumnos</w:t>
      </w:r>
      <w:r w:rsidRPr="00FB1450">
        <w:rPr>
          <w:rFonts w:ascii="Arial" w:hAnsi="Arial" w:cs="Arial"/>
          <w:sz w:val="24"/>
          <w:szCs w:val="24"/>
        </w:rPr>
        <w:t xml:space="preserve"> </w:t>
      </w:r>
      <w:r w:rsidRPr="00FB1450">
        <w:rPr>
          <w:rFonts w:ascii="Arial" w:hAnsi="Arial" w:cs="Arial"/>
          <w:sz w:val="24"/>
          <w:szCs w:val="24"/>
        </w:rPr>
        <w:t>y el contenido objeto de dicha enseñanza y aprendizaje en un sentido amplio</w:t>
      </w:r>
    </w:p>
    <w:p w14:paraId="3A0359FE" w14:textId="135CC014" w:rsidR="00CA51E3" w:rsidRPr="00FB1450" w:rsidRDefault="00CA51E3" w:rsidP="00CA51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>La construcción de significados es un proceso de negociación social entre los participantes en una actividad determinada. Por ello también puede decirse que el aprendizaje es un proceso</w:t>
      </w:r>
      <w:r w:rsidRPr="00FB1450">
        <w:rPr>
          <w:rFonts w:ascii="Arial" w:hAnsi="Arial" w:cs="Arial"/>
          <w:sz w:val="24"/>
          <w:szCs w:val="24"/>
        </w:rPr>
        <w:t xml:space="preserve"> </w:t>
      </w:r>
      <w:r w:rsidRPr="00FB1450">
        <w:rPr>
          <w:rFonts w:ascii="Arial" w:hAnsi="Arial" w:cs="Arial"/>
          <w:sz w:val="24"/>
          <w:szCs w:val="24"/>
        </w:rPr>
        <w:t>dialógico, un proceso de negociación tanto interno como social.</w:t>
      </w:r>
    </w:p>
    <w:p w14:paraId="2DA04209" w14:textId="062D4FD8" w:rsidR="00CA51E3" w:rsidRPr="00FB1450" w:rsidRDefault="00CA51E3" w:rsidP="00CA51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>El conocimiento y la actividad cognitiva se encuentran distribuidos en la cultura y en la historia de su existencia, y están mediados por las herramientas que emplean.</w:t>
      </w:r>
    </w:p>
    <w:p w14:paraId="26165EB5" w14:textId="684171FD" w:rsidR="00CA51E3" w:rsidRPr="00FB1450" w:rsidRDefault="00CA51E3" w:rsidP="00CA51E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>El aprendizaje se sitúa en un contexto determinado; depende de las oportunidades y restricciones que éste ofrece</w:t>
      </w:r>
    </w:p>
    <w:p w14:paraId="41AD51E6" w14:textId="77777777" w:rsidR="007D595E" w:rsidRPr="00FB1450" w:rsidRDefault="007D595E" w:rsidP="007D59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>El fracaso de las instituciones educativas reside en que se intenta enseñar un conocimiento inerte, abstracto y descontextualizado.</w:t>
      </w:r>
    </w:p>
    <w:p w14:paraId="312BADC3" w14:textId="77777777" w:rsidR="007D595E" w:rsidRPr="00FB1450" w:rsidRDefault="007D595E" w:rsidP="007D59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 xml:space="preserve"> Los aprendices se apropian de las prácticas y herramientas culturales mediante la interacción con miembros más experimentados.</w:t>
      </w:r>
    </w:p>
    <w:p w14:paraId="73B5D712" w14:textId="77777777" w:rsidR="007D595E" w:rsidRPr="00FB1450" w:rsidRDefault="007D595E" w:rsidP="007D59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 xml:space="preserve"> Lo central en el aprendizaje es: la participación en comunidades de práctica auténtica, donde se destaca la colaboración, la pertenencia y la posibilidad abierta de cambio y aprendizaje continuos</w:t>
      </w:r>
    </w:p>
    <w:p w14:paraId="2208C773" w14:textId="77777777" w:rsidR="007D595E" w:rsidRPr="00FB1450" w:rsidRDefault="007D595E" w:rsidP="007D59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 xml:space="preserve"> El rol del docente o del diseñador instruccional requiere un acercamiento y comprensión desde el interior de la comunidad de aprendices y la clarificación del sentido y propósito de los aprendizajes que se busca promover.</w:t>
      </w:r>
    </w:p>
    <w:p w14:paraId="45D84EA2" w14:textId="140EE54E" w:rsidR="007D595E" w:rsidRPr="00FB1450" w:rsidRDefault="007D595E" w:rsidP="007D59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>La autenticidad de una práctica educativa se determina según el grado de relevancia cultural de las actividades en que participa el estudiante, así como el tipo y nivel de actividad social que éstas promueven.</w:t>
      </w:r>
    </w:p>
    <w:p w14:paraId="13333CDD" w14:textId="77777777" w:rsidR="00FB1450" w:rsidRPr="00FB1450" w:rsidRDefault="00FB1450" w:rsidP="00FB1450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>Atiende el desarrollo pleno de las capacidades de la persona (profesores y alumnos), tanto en las esferas cognitiva como afectiva, moral y social.</w:t>
      </w:r>
    </w:p>
    <w:p w14:paraId="2FB296F2" w14:textId="77777777" w:rsidR="00FB1450" w:rsidRPr="00FB1450" w:rsidRDefault="00FB1450" w:rsidP="00FB1450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>Promueve el desarrollo de capacidades que permiten un análisis crítico tanto de los contenidos curriculares como de las situaciones prácticas que se enfrentan en torno a los mismos.</w:t>
      </w:r>
    </w:p>
    <w:p w14:paraId="71557F47" w14:textId="77777777" w:rsidR="00FB1450" w:rsidRPr="00FB1450" w:rsidRDefault="00FB1450" w:rsidP="00FB1450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>Desarrolla competencias individuales y sociales de razonamiento lógico, juicios ponderados y actitudes de apertura.</w:t>
      </w:r>
    </w:p>
    <w:p w14:paraId="7800BDED" w14:textId="77777777" w:rsidR="00FB1450" w:rsidRPr="00FB1450" w:rsidRDefault="00FB1450" w:rsidP="00FB1450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>Privilegia los procesos de construcción reflexiva del conocimiento en situaciones de experiencia cotidiana por encima de la apropiación memorística, acrítica y descontextualizada de éstos.</w:t>
      </w:r>
    </w:p>
    <w:p w14:paraId="1A7FA2AD" w14:textId="745F3286" w:rsidR="00FB1450" w:rsidRPr="00FB1450" w:rsidRDefault="00FB1450" w:rsidP="00FB1450">
      <w:pPr>
        <w:pStyle w:val="Prrafodelista"/>
        <w:numPr>
          <w:ilvl w:val="0"/>
          <w:numId w:val="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>Presta atención especial a la comprensión de los intereses, valores y contradicciones en los contenidos y las prácticas de enseñanza, y en general a los fenómenos curriculares y educativos que afectan al profesor y sus alumnos.</w:t>
      </w:r>
    </w:p>
    <w:p w14:paraId="1A933438" w14:textId="77777777" w:rsidR="007D595E" w:rsidRPr="00FB1450" w:rsidRDefault="007D595E" w:rsidP="007D59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lastRenderedPageBreak/>
        <w:t>En opinión de Henderson (1992), un profesor reflexivo adopta un enfoque constructivista en su enseñanza puesto que, además de preocuparse por el contenido académico o por las habilidades básicas que tienen que desarrollar los alumnos, se pregunta a sí mismo por la manera en que aprenden los alumnos, por la relación entre lo que trata de enseñar con los intereses y experiencias personales de éstos.</w:t>
      </w:r>
    </w:p>
    <w:p w14:paraId="396CB3EE" w14:textId="77777777" w:rsidR="007D595E" w:rsidRPr="00FB1450" w:rsidRDefault="007D595E" w:rsidP="007D595E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B1450">
        <w:rPr>
          <w:rFonts w:ascii="Arial" w:hAnsi="Arial" w:cs="Arial"/>
          <w:sz w:val="24"/>
          <w:szCs w:val="24"/>
        </w:rPr>
        <w:t>La meta con la que entra el docente al aula es que sus estudiantes desarrollen un fuerte sentido de pertenencia y control sobre su propio aprendizaje en un ambiente centrado en el alumno y en el trabajo cooperativo.</w:t>
      </w:r>
    </w:p>
    <w:p w14:paraId="7937EC76" w14:textId="77777777" w:rsidR="007D595E" w:rsidRPr="007D595E" w:rsidRDefault="007D595E" w:rsidP="00FB1450">
      <w:pPr>
        <w:pStyle w:val="Prrafodelista"/>
        <w:rPr>
          <w:sz w:val="24"/>
          <w:szCs w:val="24"/>
        </w:rPr>
      </w:pPr>
    </w:p>
    <w:p w14:paraId="31BEF5FD" w14:textId="77777777" w:rsidR="00CA51E3" w:rsidRPr="00CA51E3" w:rsidRDefault="00CA51E3" w:rsidP="007D595E">
      <w:pPr>
        <w:pStyle w:val="Prrafodelista"/>
        <w:rPr>
          <w:sz w:val="24"/>
          <w:szCs w:val="24"/>
        </w:rPr>
      </w:pPr>
    </w:p>
    <w:sectPr w:rsidR="00CA51E3" w:rsidRPr="00CA51E3" w:rsidSect="00F36172">
      <w:pgSz w:w="12240" w:h="15840"/>
      <w:pgMar w:top="1417" w:right="1701" w:bottom="1417" w:left="1701" w:header="708" w:footer="708" w:gutter="0"/>
      <w:pgBorders w:offsetFrom="page">
        <w:top w:val="double" w:sz="12" w:space="24" w:color="1F4E79" w:themeColor="accent5" w:themeShade="80"/>
        <w:left w:val="double" w:sz="12" w:space="24" w:color="1F4E79" w:themeColor="accent5" w:themeShade="80"/>
        <w:bottom w:val="double" w:sz="12" w:space="24" w:color="1F4E79" w:themeColor="accent5" w:themeShade="80"/>
        <w:right w:val="double" w:sz="12" w:space="24" w:color="1F4E79" w:themeColor="accent5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058"/>
    <w:multiLevelType w:val="hybridMultilevel"/>
    <w:tmpl w:val="E01A0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C747D"/>
    <w:multiLevelType w:val="hybridMultilevel"/>
    <w:tmpl w:val="7700D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72B8E"/>
    <w:multiLevelType w:val="hybridMultilevel"/>
    <w:tmpl w:val="204C5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823569">
    <w:abstractNumId w:val="1"/>
  </w:num>
  <w:num w:numId="2" w16cid:durableId="15539560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0242851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72"/>
    <w:rsid w:val="002C267E"/>
    <w:rsid w:val="007D595E"/>
    <w:rsid w:val="00CA51E3"/>
    <w:rsid w:val="00F36172"/>
    <w:rsid w:val="00FB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BB12"/>
  <w15:chartTrackingRefBased/>
  <w15:docId w15:val="{13026415-E1BC-497E-B432-2BA29EC7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1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6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863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Valdès</dc:creator>
  <cp:keywords/>
  <dc:description/>
  <cp:lastModifiedBy>Mariana Valdès</cp:lastModifiedBy>
  <cp:revision>1</cp:revision>
  <dcterms:created xsi:type="dcterms:W3CDTF">2022-06-11T02:27:00Z</dcterms:created>
  <dcterms:modified xsi:type="dcterms:W3CDTF">2022-06-11T02:48:00Z</dcterms:modified>
</cp:coreProperties>
</file>