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CC"/>
  <w:body>
    <w:p w14:paraId="250C69A5" w14:textId="2D58089A" w:rsidR="00BF1E2E" w:rsidRPr="00270EF6" w:rsidRDefault="00BF1E2E" w:rsidP="00270EF6">
      <w:r>
        <w:rPr>
          <w:rFonts w:ascii="Open Sans Light" w:hAnsi="Open Sans Light" w:cs="Open Sans Light"/>
          <w:noProof/>
          <w:sz w:val="40"/>
          <w:szCs w:val="40"/>
        </w:rPr>
        <w:drawing>
          <wp:anchor distT="0" distB="0" distL="114300" distR="114300" simplePos="0" relativeHeight="251663360" behindDoc="0" locked="0" layoutInCell="1" allowOverlap="1" wp14:anchorId="2E8F6BD7" wp14:editId="196480E2">
            <wp:simplePos x="0" y="0"/>
            <wp:positionH relativeFrom="margin">
              <wp:align>left</wp:align>
            </wp:positionH>
            <wp:positionV relativeFrom="paragraph">
              <wp:posOffset>14786</wp:posOffset>
            </wp:positionV>
            <wp:extent cx="1066776" cy="1447800"/>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21428" r="20216" b="8397"/>
                    <a:stretch/>
                  </pic:blipFill>
                  <pic:spPr bwMode="auto">
                    <a:xfrm>
                      <a:off x="0" y="0"/>
                      <a:ext cx="1066776" cy="144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E48D94" w14:textId="77777777" w:rsidR="0093765E" w:rsidRPr="00BF1E2E" w:rsidRDefault="0093765E" w:rsidP="00BF1E2E">
      <w:pPr>
        <w:jc w:val="center"/>
        <w:rPr>
          <w:rFonts w:ascii="Open Sans Light" w:hAnsi="Open Sans Light" w:cs="Open Sans Light"/>
          <w:sz w:val="40"/>
          <w:szCs w:val="40"/>
        </w:rPr>
      </w:pPr>
    </w:p>
    <w:p w14:paraId="2C94ADF6" w14:textId="37FC6456" w:rsidR="00BF1E2E" w:rsidRPr="00BF1E2E" w:rsidRDefault="00BF1E2E" w:rsidP="00BF1E2E">
      <w:pPr>
        <w:tabs>
          <w:tab w:val="left" w:pos="3413"/>
        </w:tabs>
        <w:jc w:val="center"/>
        <w:rPr>
          <w:rFonts w:ascii="Open Sans Light" w:hAnsi="Open Sans Light" w:cs="Open Sans Light"/>
          <w:sz w:val="40"/>
          <w:szCs w:val="40"/>
        </w:rPr>
      </w:pPr>
      <w:r w:rsidRPr="00BF1E2E">
        <w:rPr>
          <w:rFonts w:ascii="Open Sans Light" w:hAnsi="Open Sans Light" w:cs="Open Sans Light"/>
          <w:sz w:val="40"/>
          <w:szCs w:val="40"/>
        </w:rPr>
        <w:t>Escuela Normal de Educación Preescolar</w:t>
      </w:r>
    </w:p>
    <w:p w14:paraId="0B7E9960" w14:textId="19637A68" w:rsidR="00BF1E2E" w:rsidRPr="00BF1E2E" w:rsidRDefault="00BF1E2E" w:rsidP="00BF1E2E">
      <w:pPr>
        <w:tabs>
          <w:tab w:val="left" w:pos="3413"/>
        </w:tabs>
        <w:jc w:val="center"/>
        <w:rPr>
          <w:rFonts w:ascii="Open Sans Light" w:hAnsi="Open Sans Light" w:cs="Open Sans Light"/>
          <w:sz w:val="40"/>
          <w:szCs w:val="40"/>
        </w:rPr>
      </w:pPr>
      <w:r w:rsidRPr="00BF1E2E">
        <w:rPr>
          <w:rFonts w:ascii="Open Sans Light" w:hAnsi="Open Sans Light" w:cs="Open Sans Light"/>
          <w:sz w:val="40"/>
          <w:szCs w:val="40"/>
        </w:rPr>
        <w:t>Licenciatura en Educación Preescolar</w:t>
      </w:r>
    </w:p>
    <w:p w14:paraId="330027A2" w14:textId="290D286E" w:rsidR="00BF1E2E" w:rsidRPr="00BF1E2E" w:rsidRDefault="00BF1E2E" w:rsidP="00BF1E2E">
      <w:pPr>
        <w:tabs>
          <w:tab w:val="left" w:pos="3413"/>
        </w:tabs>
        <w:jc w:val="center"/>
        <w:rPr>
          <w:rFonts w:ascii="Open Sans Light" w:hAnsi="Open Sans Light" w:cs="Open Sans Light"/>
          <w:sz w:val="40"/>
          <w:szCs w:val="40"/>
        </w:rPr>
      </w:pPr>
      <w:r w:rsidRPr="00BF1E2E">
        <w:rPr>
          <w:rFonts w:ascii="Open Sans Light" w:hAnsi="Open Sans Light" w:cs="Open Sans Light"/>
          <w:sz w:val="40"/>
          <w:szCs w:val="40"/>
        </w:rPr>
        <w:t>Ciclo Escolar 2022-2023</w:t>
      </w:r>
    </w:p>
    <w:p w14:paraId="0FFE5174" w14:textId="0A999A7E" w:rsidR="00BF1E2E" w:rsidRPr="00BF1E2E" w:rsidRDefault="00BF1E2E" w:rsidP="00BF1E2E">
      <w:pPr>
        <w:tabs>
          <w:tab w:val="left" w:pos="3413"/>
        </w:tabs>
        <w:jc w:val="center"/>
        <w:rPr>
          <w:rFonts w:ascii="Open Sans Light" w:hAnsi="Open Sans Light" w:cs="Open Sans Light"/>
          <w:sz w:val="40"/>
          <w:szCs w:val="40"/>
        </w:rPr>
      </w:pPr>
      <w:r w:rsidRPr="00BF1E2E">
        <w:rPr>
          <w:rFonts w:ascii="Open Sans Light" w:hAnsi="Open Sans Light" w:cs="Open Sans Light"/>
          <w:sz w:val="40"/>
          <w:szCs w:val="40"/>
        </w:rPr>
        <w:t>Curso: Lenguaje y Alfabetización</w:t>
      </w:r>
    </w:p>
    <w:p w14:paraId="4000E1DD" w14:textId="72DAA3A2" w:rsidR="00BF1E2E" w:rsidRPr="00BF1E2E" w:rsidRDefault="00BF1E2E" w:rsidP="00BF1E2E">
      <w:pPr>
        <w:tabs>
          <w:tab w:val="left" w:pos="3413"/>
        </w:tabs>
        <w:jc w:val="center"/>
        <w:rPr>
          <w:rFonts w:ascii="Open Sans Light" w:hAnsi="Open Sans Light" w:cs="Open Sans Light"/>
          <w:sz w:val="40"/>
          <w:szCs w:val="40"/>
        </w:rPr>
      </w:pPr>
      <w:r w:rsidRPr="00BF1E2E">
        <w:rPr>
          <w:rFonts w:ascii="Open Sans Light" w:hAnsi="Open Sans Light" w:cs="Open Sans Light"/>
          <w:sz w:val="40"/>
          <w:szCs w:val="40"/>
        </w:rPr>
        <w:t>Docente: Yara Alejandra Hernández Figueroa</w:t>
      </w:r>
    </w:p>
    <w:p w14:paraId="4717F1E4" w14:textId="48C4681A" w:rsidR="00BF1E2E" w:rsidRPr="00BF1E2E" w:rsidRDefault="00BF1E2E" w:rsidP="00BF1E2E">
      <w:pPr>
        <w:tabs>
          <w:tab w:val="left" w:pos="3413"/>
        </w:tabs>
        <w:jc w:val="center"/>
        <w:rPr>
          <w:rFonts w:ascii="Open Sans Light" w:hAnsi="Open Sans Light" w:cs="Open Sans Light"/>
          <w:sz w:val="40"/>
          <w:szCs w:val="40"/>
        </w:rPr>
      </w:pPr>
      <w:r w:rsidRPr="00BF1E2E">
        <w:rPr>
          <w:rFonts w:ascii="Open Sans Light" w:hAnsi="Open Sans Light" w:cs="Open Sans Light"/>
          <w:sz w:val="40"/>
          <w:szCs w:val="40"/>
        </w:rPr>
        <w:t>Alumnas:</w:t>
      </w:r>
    </w:p>
    <w:p w14:paraId="45E3F111" w14:textId="094F32EF" w:rsidR="00BF1E2E" w:rsidRPr="00BF1E2E" w:rsidRDefault="00BF1E2E" w:rsidP="00BF1E2E">
      <w:pPr>
        <w:tabs>
          <w:tab w:val="left" w:pos="3413"/>
        </w:tabs>
        <w:jc w:val="center"/>
        <w:rPr>
          <w:rFonts w:ascii="Open Sans Light" w:hAnsi="Open Sans Light" w:cs="Open Sans Light"/>
          <w:sz w:val="40"/>
          <w:szCs w:val="40"/>
        </w:rPr>
      </w:pPr>
      <w:r w:rsidRPr="00BF1E2E">
        <w:rPr>
          <w:rFonts w:ascii="Open Sans Light" w:hAnsi="Open Sans Light" w:cs="Open Sans Light"/>
          <w:sz w:val="40"/>
          <w:szCs w:val="40"/>
        </w:rPr>
        <w:t>Lluvia Hefziba Perez Arreola #20</w:t>
      </w:r>
    </w:p>
    <w:p w14:paraId="3E61B1E6" w14:textId="174EA7AE" w:rsidR="00BF1E2E" w:rsidRPr="00BF1E2E" w:rsidRDefault="00270EF6" w:rsidP="00BF1E2E">
      <w:pPr>
        <w:tabs>
          <w:tab w:val="left" w:pos="3413"/>
        </w:tabs>
        <w:jc w:val="center"/>
        <w:rPr>
          <w:rFonts w:ascii="Open Sans Light" w:hAnsi="Open Sans Light" w:cs="Open Sans Light"/>
          <w:sz w:val="40"/>
          <w:szCs w:val="40"/>
        </w:rPr>
      </w:pPr>
      <w:r w:rsidRPr="0093765E">
        <w:rPr>
          <w:rFonts w:ascii="Open Sans Light" w:hAnsi="Open Sans Light" w:cs="Open Sans Light"/>
          <w:b/>
          <w:bCs/>
          <w:noProof/>
        </w:rPr>
        <mc:AlternateContent>
          <mc:Choice Requires="wps">
            <w:drawing>
              <wp:anchor distT="45720" distB="45720" distL="114300" distR="114300" simplePos="0" relativeHeight="251667456" behindDoc="0" locked="0" layoutInCell="1" allowOverlap="1" wp14:anchorId="682B3414" wp14:editId="3F838877">
                <wp:simplePos x="0" y="0"/>
                <wp:positionH relativeFrom="margin">
                  <wp:align>right</wp:align>
                </wp:positionH>
                <wp:positionV relativeFrom="paragraph">
                  <wp:posOffset>1492250</wp:posOffset>
                </wp:positionV>
                <wp:extent cx="1844040" cy="14046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noFill/>
                        <a:ln w="9525">
                          <a:noFill/>
                          <a:miter lim="800000"/>
                          <a:headEnd/>
                          <a:tailEnd/>
                        </a:ln>
                      </wps:spPr>
                      <wps:txbx>
                        <w:txbxContent>
                          <w:p w14:paraId="0A2F178E" w14:textId="63C6E8AA" w:rsidR="0093765E" w:rsidRPr="0093765E" w:rsidRDefault="0093765E" w:rsidP="0093765E">
                            <w:pPr>
                              <w:rPr>
                                <w:rFonts w:ascii="Open Sans Light" w:hAnsi="Open Sans Light" w:cs="Open Sans Light"/>
                                <w:sz w:val="32"/>
                                <w:szCs w:val="32"/>
                              </w:rPr>
                            </w:pPr>
                            <w:r>
                              <w:rPr>
                                <w:rFonts w:ascii="Open Sans Light" w:hAnsi="Open Sans Light" w:cs="Open Sans Light"/>
                                <w:sz w:val="32"/>
                                <w:szCs w:val="32"/>
                              </w:rPr>
                              <w:t>Septiembre 2022</w:t>
                            </w:r>
                            <w:r w:rsidRPr="0093765E">
                              <w:rPr>
                                <w:rFonts w:ascii="Open Sans Light" w:hAnsi="Open Sans Light" w:cs="Open Sans Light"/>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2B3414" id="_x0000_t202" coordsize="21600,21600" o:spt="202" path="m,l,21600r21600,l21600,xe">
                <v:stroke joinstyle="miter"/>
                <v:path gradientshapeok="t" o:connecttype="rect"/>
              </v:shapetype>
              <v:shape id="Cuadro de texto 2" o:spid="_x0000_s1026" type="#_x0000_t202" style="position:absolute;left:0;text-align:left;margin-left:94pt;margin-top:117.5pt;width:145.2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" filled="f" stroked="f">
                <v:textbox style="mso-fit-shape-to-text:t">
                  <w:txbxContent>
                    <w:p w14:paraId="0A2F178E" w14:textId="63C6E8AA" w:rsidR="0093765E" w:rsidRPr="0093765E" w:rsidRDefault="0093765E" w:rsidP="0093765E">
                      <w:pPr>
                        <w:rPr>
                          <w:rFonts w:ascii="Open Sans Light" w:hAnsi="Open Sans Light" w:cs="Open Sans Light"/>
                          <w:sz w:val="32"/>
                          <w:szCs w:val="32"/>
                        </w:rPr>
                      </w:pPr>
                      <w:r>
                        <w:rPr>
                          <w:rFonts w:ascii="Open Sans Light" w:hAnsi="Open Sans Light" w:cs="Open Sans Light"/>
                          <w:sz w:val="32"/>
                          <w:szCs w:val="32"/>
                        </w:rPr>
                        <w:t>Septiembre 2022</w:t>
                      </w:r>
                      <w:r w:rsidRPr="0093765E">
                        <w:rPr>
                          <w:rFonts w:ascii="Open Sans Light" w:hAnsi="Open Sans Light" w:cs="Open Sans Light"/>
                          <w:sz w:val="32"/>
                          <w:szCs w:val="32"/>
                        </w:rPr>
                        <w:t xml:space="preserve"> </w:t>
                      </w:r>
                    </w:p>
                  </w:txbxContent>
                </v:textbox>
                <w10:wrap anchorx="margin"/>
              </v:shape>
            </w:pict>
          </mc:Fallback>
        </mc:AlternateContent>
      </w:r>
      <w:r w:rsidRPr="0093765E">
        <w:rPr>
          <w:rFonts w:ascii="Open Sans Light" w:hAnsi="Open Sans Light" w:cs="Open Sans Light"/>
          <w:b/>
          <w:bCs/>
          <w:noProof/>
        </w:rPr>
        <mc:AlternateContent>
          <mc:Choice Requires="wps">
            <w:drawing>
              <wp:anchor distT="45720" distB="45720" distL="114300" distR="114300" simplePos="0" relativeHeight="251671552" behindDoc="0" locked="0" layoutInCell="1" allowOverlap="1" wp14:anchorId="6722A89F" wp14:editId="7FFA7F2C">
                <wp:simplePos x="0" y="0"/>
                <wp:positionH relativeFrom="margin">
                  <wp:align>left</wp:align>
                </wp:positionH>
                <wp:positionV relativeFrom="paragraph">
                  <wp:posOffset>1492885</wp:posOffset>
                </wp:positionV>
                <wp:extent cx="2895600" cy="140462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4620"/>
                        </a:xfrm>
                        <a:prstGeom prst="rect">
                          <a:avLst/>
                        </a:prstGeom>
                        <a:noFill/>
                        <a:ln w="9525">
                          <a:noFill/>
                          <a:miter lim="800000"/>
                          <a:headEnd/>
                          <a:tailEnd/>
                        </a:ln>
                      </wps:spPr>
                      <wps:txbx>
                        <w:txbxContent>
                          <w:p w14:paraId="2F030BAC" w14:textId="77777777" w:rsidR="00270EF6" w:rsidRPr="0093765E" w:rsidRDefault="00270EF6" w:rsidP="00270EF6">
                            <w:pPr>
                              <w:rPr>
                                <w:rFonts w:ascii="Open Sans Light" w:hAnsi="Open Sans Light" w:cs="Open Sans Light"/>
                                <w:sz w:val="32"/>
                                <w:szCs w:val="32"/>
                              </w:rPr>
                            </w:pPr>
                            <w:r w:rsidRPr="0093765E">
                              <w:rPr>
                                <w:rFonts w:ascii="Open Sans Light" w:hAnsi="Open Sans Light" w:cs="Open Sans Light"/>
                                <w:sz w:val="32"/>
                                <w:szCs w:val="32"/>
                              </w:rPr>
                              <w:t xml:space="preserve">Saltillo Coahuila de Zaragoza.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22A89F" id="_x0000_s1027" type="#_x0000_t202" style="position:absolute;left:0;text-align:left;margin-left:0;margin-top:117.55pt;width:228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" filled="f" stroked="f">
                <v:textbox style="mso-fit-shape-to-text:t">
                  <w:txbxContent>
                    <w:p w14:paraId="2F030BAC" w14:textId="77777777" w:rsidR="00270EF6" w:rsidRPr="0093765E" w:rsidRDefault="00270EF6" w:rsidP="00270EF6">
                      <w:pPr>
                        <w:rPr>
                          <w:rFonts w:ascii="Open Sans Light" w:hAnsi="Open Sans Light" w:cs="Open Sans Light"/>
                          <w:sz w:val="32"/>
                          <w:szCs w:val="32"/>
                        </w:rPr>
                      </w:pPr>
                      <w:r w:rsidRPr="0093765E">
                        <w:rPr>
                          <w:rFonts w:ascii="Open Sans Light" w:hAnsi="Open Sans Light" w:cs="Open Sans Light"/>
                          <w:sz w:val="32"/>
                          <w:szCs w:val="32"/>
                        </w:rPr>
                        <w:t xml:space="preserve">Saltillo Coahuila de Zaragoza. </w:t>
                      </w:r>
                    </w:p>
                  </w:txbxContent>
                </v:textbox>
                <w10:wrap anchorx="margin"/>
              </v:shape>
            </w:pict>
          </mc:Fallback>
        </mc:AlternateContent>
      </w:r>
      <w:r w:rsidR="00BF1E2E" w:rsidRPr="00BF1E2E">
        <w:rPr>
          <w:rFonts w:ascii="Open Sans Light" w:hAnsi="Open Sans Light" w:cs="Open Sans Light"/>
          <w:sz w:val="40"/>
          <w:szCs w:val="40"/>
        </w:rPr>
        <w:t>Joana Esmeralda Rincón Guerrero #23</w:t>
      </w:r>
    </w:p>
    <w:p w14:paraId="58CAEDFA" w14:textId="378A2673" w:rsidR="00BF1E2E" w:rsidRPr="00B91125" w:rsidRDefault="00BF1E2E" w:rsidP="00270EF6">
      <w:pPr>
        <w:tabs>
          <w:tab w:val="left" w:pos="3413"/>
        </w:tabs>
        <w:jc w:val="center"/>
        <w:rPr>
          <w:rFonts w:ascii="Open Sans Light" w:hAnsi="Open Sans Light" w:cs="Open Sans Light"/>
          <w:sz w:val="44"/>
          <w:szCs w:val="44"/>
        </w:rPr>
      </w:pPr>
      <w:r w:rsidRPr="00BF1E2E">
        <w:rPr>
          <w:rFonts w:ascii="Open Sans Light" w:hAnsi="Open Sans Light" w:cs="Open Sans Light"/>
          <w:sz w:val="40"/>
          <w:szCs w:val="40"/>
        </w:rPr>
        <w:t>Perla Carolina Ruiz Cisneros #2</w:t>
      </w:r>
      <w:r w:rsidR="0093765E" w:rsidRPr="0093765E">
        <w:rPr>
          <w:rFonts w:ascii="Open Sans Light" w:hAnsi="Open Sans Light" w:cs="Open Sans Light"/>
          <w:b/>
          <w:bCs/>
          <w:noProof/>
        </w:rPr>
        <mc:AlternateContent>
          <mc:Choice Requires="wps">
            <w:drawing>
              <wp:anchor distT="45720" distB="45720" distL="114300" distR="114300" simplePos="0" relativeHeight="251665408" behindDoc="0" locked="0" layoutInCell="1" allowOverlap="1" wp14:anchorId="0761AE83" wp14:editId="7D1562FB">
                <wp:simplePos x="0" y="0"/>
                <wp:positionH relativeFrom="margin">
                  <wp:align>left</wp:align>
                </wp:positionH>
                <wp:positionV relativeFrom="paragraph">
                  <wp:posOffset>2144395</wp:posOffset>
                </wp:positionV>
                <wp:extent cx="289560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4620"/>
                        </a:xfrm>
                        <a:prstGeom prst="rect">
                          <a:avLst/>
                        </a:prstGeom>
                        <a:noFill/>
                        <a:ln w="9525">
                          <a:noFill/>
                          <a:miter lim="800000"/>
                          <a:headEnd/>
                          <a:tailEnd/>
                        </a:ln>
                      </wps:spPr>
                      <wps:txbx>
                        <w:txbxContent>
                          <w:p w14:paraId="59469B94" w14:textId="0703CF1E" w:rsidR="0093765E" w:rsidRPr="0093765E" w:rsidRDefault="0093765E">
                            <w:pPr>
                              <w:rPr>
                                <w:rFonts w:ascii="Open Sans Light" w:hAnsi="Open Sans Light" w:cs="Open Sans Light"/>
                                <w:sz w:val="32"/>
                                <w:szCs w:val="32"/>
                              </w:rPr>
                            </w:pPr>
                            <w:r w:rsidRPr="0093765E">
                              <w:rPr>
                                <w:rFonts w:ascii="Open Sans Light" w:hAnsi="Open Sans Light" w:cs="Open Sans Light"/>
                                <w:sz w:val="32"/>
                                <w:szCs w:val="32"/>
                              </w:rPr>
                              <w:t xml:space="preserve">Saltillo Coahuila de Zaragoza.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1AE83" id="_x0000_s1028" type="#_x0000_t202" style="position:absolute;left:0;text-align:left;margin-left:0;margin-top:168.85pt;width:228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" filled="f" stroked="f">
                <v:textbox style="mso-fit-shape-to-text:t">
                  <w:txbxContent>
                    <w:p w14:paraId="59469B94" w14:textId="0703CF1E" w:rsidR="0093765E" w:rsidRPr="0093765E" w:rsidRDefault="0093765E">
                      <w:pPr>
                        <w:rPr>
                          <w:rFonts w:ascii="Open Sans Light" w:hAnsi="Open Sans Light" w:cs="Open Sans Light"/>
                          <w:sz w:val="32"/>
                          <w:szCs w:val="32"/>
                        </w:rPr>
                      </w:pPr>
                      <w:r w:rsidRPr="0093765E">
                        <w:rPr>
                          <w:rFonts w:ascii="Open Sans Light" w:hAnsi="Open Sans Light" w:cs="Open Sans Light"/>
                          <w:sz w:val="32"/>
                          <w:szCs w:val="32"/>
                        </w:rPr>
                        <w:t xml:space="preserve">Saltillo Coahuila de Zaragoza. </w:t>
                      </w:r>
                    </w:p>
                  </w:txbxContent>
                </v:textbox>
                <w10:wrap anchorx="margin"/>
              </v:shape>
            </w:pict>
          </mc:Fallback>
        </mc:AlternateContent>
      </w:r>
      <w:r w:rsidR="00270EF6">
        <w:rPr>
          <w:rFonts w:ascii="Open Sans Light" w:hAnsi="Open Sans Light" w:cs="Open Sans Light"/>
          <w:sz w:val="40"/>
          <w:szCs w:val="40"/>
        </w:rPr>
        <w:t>6</w:t>
      </w:r>
      <w:r w:rsidRPr="0093765E">
        <w:rPr>
          <w:rFonts w:ascii="Open Sans Light" w:hAnsi="Open Sans Light" w:cs="Open Sans Light"/>
          <w:sz w:val="40"/>
          <w:szCs w:val="40"/>
        </w:rPr>
        <w:br w:type="page"/>
      </w:r>
      <w:r w:rsidR="00B91125" w:rsidRPr="00B91125">
        <w:rPr>
          <w:noProof/>
          <w:sz w:val="24"/>
          <w:szCs w:val="24"/>
        </w:rPr>
        <mc:AlternateContent>
          <mc:Choice Requires="wps">
            <w:drawing>
              <wp:anchor distT="0" distB="0" distL="114300" distR="114300" simplePos="0" relativeHeight="251660288" behindDoc="0" locked="0" layoutInCell="1" allowOverlap="1" wp14:anchorId="0B2EF943" wp14:editId="49F1D574">
                <wp:simplePos x="0" y="0"/>
                <wp:positionH relativeFrom="margin">
                  <wp:align>center</wp:align>
                </wp:positionH>
                <wp:positionV relativeFrom="paragraph">
                  <wp:posOffset>-253536</wp:posOffset>
                </wp:positionV>
                <wp:extent cx="2416628" cy="596317"/>
                <wp:effectExtent l="0" t="0" r="0" b="0"/>
                <wp:wrapNone/>
                <wp:docPr id="30" name="TextBox 30"/>
                <wp:cNvGraphicFramePr/>
                <a:graphic xmlns:a="http://schemas.openxmlformats.org/drawingml/2006/main">
                  <a:graphicData uri="http://schemas.microsoft.com/office/word/2010/wordprocessingShape">
                    <wps:wsp>
                      <wps:cNvSpPr txBox="1"/>
                      <wps:spPr>
                        <a:xfrm>
                          <a:off x="0" y="0"/>
                          <a:ext cx="2416628" cy="596317"/>
                        </a:xfrm>
                        <a:prstGeom prst="rect">
                          <a:avLst/>
                        </a:prstGeom>
                      </wps:spPr>
                      <wps:txbx>
                        <w:txbxContent>
                          <w:p w14:paraId="65617274" w14:textId="77777777" w:rsidR="00C5771C" w:rsidRPr="00C5771C" w:rsidRDefault="00C5771C" w:rsidP="00C5771C">
                            <w:pPr>
                              <w:spacing w:line="1235" w:lineRule="exact"/>
                              <w:rPr>
                                <w:rFonts w:ascii="Kenao Sans Serif" w:hAnsi="Kenao Sans Serif"/>
                                <w:color w:val="E47979"/>
                                <w:kern w:val="24"/>
                                <w:sz w:val="42"/>
                                <w:szCs w:val="28"/>
                              </w:rPr>
                            </w:pPr>
                            <w:r w:rsidRPr="00C5771C">
                              <w:rPr>
                                <w:rFonts w:ascii="Kenao Sans Serif" w:hAnsi="Kenao Sans Serif"/>
                                <w:color w:val="E47979"/>
                                <w:kern w:val="24"/>
                                <w:sz w:val="42"/>
                                <w:szCs w:val="28"/>
                              </w:rPr>
                              <w:t xml:space="preserve">Cuadro Comparativo </w:t>
                            </w:r>
                          </w:p>
                        </w:txbxContent>
                      </wps:txbx>
                      <wps:bodyPr wrap="square" lIns="0" tIns="0" rIns="0" bIns="0" rtlCol="0" anchor="t">
                        <a:spAutoFit/>
                      </wps:bodyPr>
                    </wps:wsp>
                  </a:graphicData>
                </a:graphic>
                <wp14:sizeRelH relativeFrom="margin">
                  <wp14:pctWidth>0</wp14:pctWidth>
                </wp14:sizeRelH>
              </wp:anchor>
            </w:drawing>
          </mc:Choice>
          <mc:Fallback>
            <w:pict>
              <v:shape w14:anchorId="0B2EF943" id="TextBox 30" o:spid="_x0000_s1029" type="#_x0000_t202" style="position:absolute;left:0;text-align:left;margin-left:0;margin-top:-19.95pt;width:190.3pt;height:46.9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" filled="f" stroked="f">
                <v:textbox style="mso-fit-shape-to-text:t" inset="0,0,0,0">
                  <w:txbxContent>
                    <w:p w14:paraId="65617274" w14:textId="77777777" w:rsidR="00C5771C" w:rsidRPr="00C5771C" w:rsidRDefault="00C5771C" w:rsidP="00C5771C">
                      <w:pPr>
                        <w:spacing w:line="1235" w:lineRule="exact"/>
                        <w:rPr>
                          <w:rFonts w:ascii="Kenao Sans Serif" w:hAnsi="Kenao Sans Serif"/>
                          <w:color w:val="E47979"/>
                          <w:kern w:val="24"/>
                          <w:sz w:val="42"/>
                          <w:szCs w:val="28"/>
                        </w:rPr>
                      </w:pPr>
                      <w:r w:rsidRPr="00C5771C">
                        <w:rPr>
                          <w:rFonts w:ascii="Kenao Sans Serif" w:hAnsi="Kenao Sans Serif"/>
                          <w:color w:val="E47979"/>
                          <w:kern w:val="24"/>
                          <w:sz w:val="42"/>
                          <w:szCs w:val="28"/>
                        </w:rPr>
                        <w:t xml:space="preserve">Cuadro Comparativo </w:t>
                      </w:r>
                    </w:p>
                  </w:txbxContent>
                </v:textbox>
                <w10:wrap anchorx="margin"/>
              </v:shape>
            </w:pict>
          </mc:Fallback>
        </mc:AlternateContent>
      </w:r>
      <w:r w:rsidR="00B91125" w:rsidRPr="00B91125">
        <w:rPr>
          <w:noProof/>
          <w:sz w:val="24"/>
          <w:szCs w:val="24"/>
        </w:rPr>
        <w:drawing>
          <wp:anchor distT="0" distB="0" distL="114300" distR="114300" simplePos="0" relativeHeight="251658240" behindDoc="0" locked="0" layoutInCell="1" allowOverlap="1" wp14:anchorId="6BA83072" wp14:editId="30C1B3C2">
            <wp:simplePos x="0" y="0"/>
            <wp:positionH relativeFrom="margin">
              <wp:align>center</wp:align>
            </wp:positionH>
            <wp:positionV relativeFrom="paragraph">
              <wp:posOffset>-28459</wp:posOffset>
            </wp:positionV>
            <wp:extent cx="5612130" cy="571500"/>
            <wp:effectExtent l="0" t="0" r="762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a:stretch>
                  </pic:blipFill>
                  <pic:spPr>
                    <a:xfrm>
                      <a:off x="0" y="0"/>
                      <a:ext cx="5612130" cy="571500"/>
                    </a:xfrm>
                    <a:prstGeom prst="rect">
                      <a:avLst/>
                    </a:prstGeom>
                  </pic:spPr>
                </pic:pic>
              </a:graphicData>
            </a:graphic>
            <wp14:sizeRelH relativeFrom="margin">
              <wp14:pctWidth>0</wp14:pctWidth>
            </wp14:sizeRelH>
            <wp14:sizeRelV relativeFrom="margin">
              <wp14:pctHeight>0</wp14:pctHeight>
            </wp14:sizeRelV>
          </wp:anchor>
        </w:drawing>
      </w:r>
      <w:r w:rsidRPr="00B91125">
        <w:rPr>
          <w:sz w:val="24"/>
          <w:szCs w:val="24"/>
        </w:rPr>
        <w:t>E</w:t>
      </w:r>
    </w:p>
    <w:p w14:paraId="4FF97A47" w14:textId="1948BABF" w:rsidR="00C5771C" w:rsidRDefault="00BF1E2E">
      <w:r w:rsidRPr="00C5771C">
        <w:rPr>
          <w:noProof/>
        </w:rPr>
        <mc:AlternateContent>
          <mc:Choice Requires="wps">
            <w:drawing>
              <wp:anchor distT="0" distB="0" distL="114300" distR="114300" simplePos="0" relativeHeight="251662336" behindDoc="0" locked="0" layoutInCell="1" allowOverlap="1" wp14:anchorId="0FEA56AA" wp14:editId="45F6488D">
                <wp:simplePos x="0" y="0"/>
                <wp:positionH relativeFrom="margin">
                  <wp:posOffset>1194204</wp:posOffset>
                </wp:positionH>
                <wp:positionV relativeFrom="paragraph">
                  <wp:posOffset>179705</wp:posOffset>
                </wp:positionV>
                <wp:extent cx="6184669" cy="459934"/>
                <wp:effectExtent l="0" t="0" r="0" b="0"/>
                <wp:wrapNone/>
                <wp:docPr id="31" name="TextBox 31"/>
                <wp:cNvGraphicFramePr/>
                <a:graphic xmlns:a="http://schemas.openxmlformats.org/drawingml/2006/main">
                  <a:graphicData uri="http://schemas.microsoft.com/office/word/2010/wordprocessingShape">
                    <wps:wsp>
                      <wps:cNvSpPr txBox="1"/>
                      <wps:spPr>
                        <a:xfrm>
                          <a:off x="0" y="0"/>
                          <a:ext cx="6184669" cy="459934"/>
                        </a:xfrm>
                        <a:prstGeom prst="rect">
                          <a:avLst/>
                        </a:prstGeom>
                      </wps:spPr>
                      <wps:txbx>
                        <w:txbxContent>
                          <w:p w14:paraId="6980CA22" w14:textId="22036D0E" w:rsidR="00C5771C" w:rsidRPr="00B91125" w:rsidRDefault="00C5771C" w:rsidP="00C5771C">
                            <w:pPr>
                              <w:spacing w:line="850" w:lineRule="exact"/>
                              <w:rPr>
                                <w:rFonts w:ascii="Bahnschrift SemiBold SemiConden" w:hAnsi="Bahnschrift SemiBold SemiConden"/>
                                <w:color w:val="FF5757"/>
                                <w:spacing w:val="231"/>
                                <w:kern w:val="24"/>
                                <w:sz w:val="32"/>
                                <w:szCs w:val="32"/>
                                <w:lang w:val="en-US"/>
                              </w:rPr>
                            </w:pPr>
                            <w:r w:rsidRPr="00B91125">
                              <w:rPr>
                                <w:rFonts w:ascii="Bahnschrift SemiBold SemiConden" w:hAnsi="Bahnschrift SemiBold SemiConden"/>
                                <w:color w:val="FF5757"/>
                                <w:spacing w:val="231"/>
                                <w:kern w:val="24"/>
                                <w:sz w:val="28"/>
                                <w:szCs w:val="28"/>
                                <w:lang w:val="en-US"/>
                              </w:rPr>
                              <w:t>LA ALFABETIZACION INICIAL</w:t>
                            </w:r>
                          </w:p>
                        </w:txbxContent>
                      </wps:txbx>
                      <wps:bodyPr wrap="square" lIns="0" tIns="0" rIns="0" bIns="0" rtlCol="0" anchor="t">
                        <a:spAutoFit/>
                      </wps:bodyPr>
                    </wps:wsp>
                  </a:graphicData>
                </a:graphic>
                <wp14:sizeRelH relativeFrom="margin">
                  <wp14:pctWidth>0</wp14:pctWidth>
                </wp14:sizeRelH>
              </wp:anchor>
            </w:drawing>
          </mc:Choice>
          <mc:Fallback>
            <w:pict>
              <v:shape w14:anchorId="0FEA56AA" id="TextBox 31" o:spid="_x0000_s1030" type="#_x0000_t202" style="position:absolute;margin-left:94.05pt;margin-top:14.15pt;width:487pt;height:36.2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" filled="f" stroked="f">
                <v:textbox style="mso-fit-shape-to-text:t" inset="0,0,0,0">
                  <w:txbxContent>
                    <w:p w14:paraId="6980CA22" w14:textId="22036D0E" w:rsidR="00C5771C" w:rsidRPr="00B91125" w:rsidRDefault="00C5771C" w:rsidP="00C5771C">
                      <w:pPr>
                        <w:spacing w:line="850" w:lineRule="exact"/>
                        <w:rPr>
                          <w:rFonts w:ascii="Bahnschrift SemiBold SemiConden" w:hAnsi="Bahnschrift SemiBold SemiConden"/>
                          <w:color w:val="FF5757"/>
                          <w:spacing w:val="231"/>
                          <w:kern w:val="24"/>
                          <w:sz w:val="32"/>
                          <w:szCs w:val="32"/>
                          <w:lang w:val="en-US"/>
                        </w:rPr>
                      </w:pPr>
                      <w:r w:rsidRPr="00B91125">
                        <w:rPr>
                          <w:rFonts w:ascii="Bahnschrift SemiBold SemiConden" w:hAnsi="Bahnschrift SemiBold SemiConden"/>
                          <w:color w:val="FF5757"/>
                          <w:spacing w:val="231"/>
                          <w:kern w:val="24"/>
                          <w:sz w:val="28"/>
                          <w:szCs w:val="28"/>
                          <w:lang w:val="en-US"/>
                        </w:rPr>
                        <w:t>LA ALFABETIZACION INICIAL</w:t>
                      </w:r>
                    </w:p>
                  </w:txbxContent>
                </v:textbox>
                <w10:wrap anchorx="margin"/>
              </v:shape>
            </w:pict>
          </mc:Fallback>
        </mc:AlternateContent>
      </w:r>
    </w:p>
    <w:tbl>
      <w:tblPr>
        <w:tblStyle w:val="Tablaconcuadrcula"/>
        <w:tblpPr w:leftFromText="141" w:rightFromText="141" w:vertAnchor="text" w:horzAnchor="margin" w:tblpX="-597" w:tblpY="954"/>
        <w:tblW w:w="14034" w:type="dxa"/>
        <w:tblBorders>
          <w:top w:val="single" w:sz="24" w:space="0" w:color="FF9999"/>
          <w:left w:val="single" w:sz="24" w:space="0" w:color="FF9999"/>
          <w:bottom w:val="single" w:sz="24" w:space="0" w:color="FF9999"/>
          <w:right w:val="single" w:sz="24" w:space="0" w:color="FF9999"/>
          <w:insideH w:val="single" w:sz="24" w:space="0" w:color="FF9999"/>
          <w:insideV w:val="single" w:sz="24" w:space="0" w:color="FF9999"/>
        </w:tblBorders>
        <w:tblLook w:val="04A0" w:firstRow="1" w:lastRow="0" w:firstColumn="1" w:lastColumn="0" w:noHBand="0" w:noVBand="1"/>
      </w:tblPr>
      <w:tblGrid>
        <w:gridCol w:w="1813"/>
        <w:gridCol w:w="3827"/>
        <w:gridCol w:w="4425"/>
        <w:gridCol w:w="3969"/>
      </w:tblGrid>
      <w:tr w:rsidR="00270EF6" w:rsidRPr="00C5771C" w14:paraId="6D076E43" w14:textId="77777777" w:rsidTr="00270EF6">
        <w:tc>
          <w:tcPr>
            <w:tcW w:w="1813" w:type="dxa"/>
          </w:tcPr>
          <w:p w14:paraId="3354F5FF" w14:textId="7144B7FD" w:rsidR="00C5771C" w:rsidRPr="009B0C51" w:rsidRDefault="00C5771C" w:rsidP="00C70CC9">
            <w:pPr>
              <w:jc w:val="center"/>
              <w:rPr>
                <w:rFonts w:ascii="Open Sans Light" w:hAnsi="Open Sans Light" w:cs="Open Sans Light"/>
                <w:b/>
                <w:bCs/>
              </w:rPr>
            </w:pPr>
            <w:r w:rsidRPr="009B0C51">
              <w:rPr>
                <w:rFonts w:ascii="Open Sans Light" w:hAnsi="Open Sans Light" w:cs="Open Sans Light"/>
                <w:b/>
                <w:bCs/>
              </w:rPr>
              <w:t>Características</w:t>
            </w:r>
          </w:p>
        </w:tc>
        <w:tc>
          <w:tcPr>
            <w:tcW w:w="3827" w:type="dxa"/>
          </w:tcPr>
          <w:p w14:paraId="5D6DFDFE" w14:textId="1D65AE54" w:rsidR="00C5771C" w:rsidRPr="00C70CC9" w:rsidRDefault="00C5771C" w:rsidP="00C70CC9">
            <w:pPr>
              <w:jc w:val="center"/>
              <w:rPr>
                <w:rFonts w:ascii="Open Sans Light" w:hAnsi="Open Sans Light" w:cs="Open Sans Light"/>
                <w:b/>
                <w:bCs/>
                <w:sz w:val="24"/>
                <w:szCs w:val="24"/>
              </w:rPr>
            </w:pPr>
            <w:r w:rsidRPr="00C70CC9">
              <w:rPr>
                <w:rFonts w:ascii="Open Sans Light" w:hAnsi="Open Sans Light" w:cs="Open Sans Light"/>
                <w:b/>
                <w:bCs/>
                <w:sz w:val="24"/>
                <w:szCs w:val="24"/>
              </w:rPr>
              <w:t>Teoría 1</w:t>
            </w:r>
          </w:p>
        </w:tc>
        <w:tc>
          <w:tcPr>
            <w:tcW w:w="4425" w:type="dxa"/>
          </w:tcPr>
          <w:p w14:paraId="5FB5E89E" w14:textId="305558FA" w:rsidR="00C5771C" w:rsidRPr="00C70CC9" w:rsidRDefault="00C5771C" w:rsidP="00C70CC9">
            <w:pPr>
              <w:jc w:val="center"/>
              <w:rPr>
                <w:rFonts w:ascii="Open Sans Light" w:hAnsi="Open Sans Light" w:cs="Open Sans Light"/>
                <w:b/>
                <w:bCs/>
                <w:sz w:val="24"/>
                <w:szCs w:val="24"/>
              </w:rPr>
            </w:pPr>
            <w:r w:rsidRPr="00C70CC9">
              <w:rPr>
                <w:rFonts w:ascii="Open Sans Light" w:hAnsi="Open Sans Light" w:cs="Open Sans Light"/>
                <w:b/>
                <w:bCs/>
                <w:sz w:val="24"/>
                <w:szCs w:val="24"/>
              </w:rPr>
              <w:t>Teoría 2</w:t>
            </w:r>
          </w:p>
        </w:tc>
        <w:tc>
          <w:tcPr>
            <w:tcW w:w="3969" w:type="dxa"/>
          </w:tcPr>
          <w:p w14:paraId="60A9CC17" w14:textId="08D51D49" w:rsidR="00C5771C" w:rsidRPr="00C70CC9" w:rsidRDefault="00C5771C" w:rsidP="00C70CC9">
            <w:pPr>
              <w:jc w:val="center"/>
              <w:rPr>
                <w:rFonts w:ascii="Open Sans Light" w:hAnsi="Open Sans Light" w:cs="Open Sans Light"/>
                <w:b/>
                <w:bCs/>
                <w:sz w:val="24"/>
                <w:szCs w:val="24"/>
              </w:rPr>
            </w:pPr>
            <w:r w:rsidRPr="00C70CC9">
              <w:rPr>
                <w:rFonts w:ascii="Open Sans Light" w:hAnsi="Open Sans Light" w:cs="Open Sans Light"/>
                <w:b/>
                <w:bCs/>
                <w:sz w:val="24"/>
                <w:szCs w:val="24"/>
              </w:rPr>
              <w:t>Teoría 3</w:t>
            </w:r>
          </w:p>
        </w:tc>
      </w:tr>
      <w:tr w:rsidR="00270EF6" w:rsidRPr="00C5771C" w14:paraId="2D5F9EEB" w14:textId="77777777" w:rsidTr="00270EF6">
        <w:tc>
          <w:tcPr>
            <w:tcW w:w="1813" w:type="dxa"/>
          </w:tcPr>
          <w:p w14:paraId="14024595" w14:textId="24CB56DB" w:rsidR="00C5771C" w:rsidRPr="009B0C51" w:rsidRDefault="00C5771C" w:rsidP="00C70CC9">
            <w:pPr>
              <w:jc w:val="center"/>
              <w:rPr>
                <w:rFonts w:ascii="Open Sans Light" w:hAnsi="Open Sans Light" w:cs="Open Sans Light"/>
                <w:b/>
                <w:bCs/>
              </w:rPr>
            </w:pPr>
            <w:r w:rsidRPr="009B0C51">
              <w:rPr>
                <w:rFonts w:ascii="Open Sans Light" w:hAnsi="Open Sans Light" w:cs="Open Sans Light"/>
                <w:b/>
                <w:bCs/>
              </w:rPr>
              <w:t>Propuesta y metodología del aprendizaje.</w:t>
            </w:r>
          </w:p>
          <w:p w14:paraId="511DED5C" w14:textId="713832D0" w:rsidR="00C5771C" w:rsidRPr="009B0C51" w:rsidRDefault="00C5771C" w:rsidP="00C70CC9">
            <w:pPr>
              <w:jc w:val="center"/>
              <w:rPr>
                <w:rFonts w:ascii="Open Sans Light" w:hAnsi="Open Sans Light" w:cs="Open Sans Light"/>
                <w:b/>
                <w:bCs/>
              </w:rPr>
            </w:pPr>
          </w:p>
        </w:tc>
        <w:tc>
          <w:tcPr>
            <w:tcW w:w="3827" w:type="dxa"/>
          </w:tcPr>
          <w:p w14:paraId="7B5D5F5F" w14:textId="77777777" w:rsidR="009B0C51" w:rsidRPr="009B0C51" w:rsidRDefault="009B0C51" w:rsidP="00270EF6">
            <w:pPr>
              <w:jc w:val="both"/>
              <w:rPr>
                <w:rFonts w:ascii="Open Sans Light" w:hAnsi="Open Sans Light" w:cs="Open Sans Light"/>
              </w:rPr>
            </w:pPr>
            <w:r w:rsidRPr="009B0C51">
              <w:rPr>
                <w:rFonts w:ascii="Open Sans Light" w:hAnsi="Open Sans Light" w:cs="Open Sans Light"/>
              </w:rPr>
              <w:t xml:space="preserve">Los métodos para la enseñanza de la lectura aparecieron debido a los problemas que presentaban las personas entorno a la alfabetización En la actualidad, parece conveniente elaborar un cuadro descriptivo que conserve los dos agrupamientos tradicionales pero que los separe por consideraciones lingüísticas. De este modo, se podrían reconocer: </w:t>
            </w:r>
          </w:p>
          <w:p w14:paraId="4820C09D" w14:textId="77777777" w:rsidR="009B0C51" w:rsidRPr="009B0C51" w:rsidRDefault="009B0C51" w:rsidP="00270EF6">
            <w:pPr>
              <w:jc w:val="both"/>
              <w:rPr>
                <w:rFonts w:ascii="Open Sans Light" w:hAnsi="Open Sans Light" w:cs="Open Sans Light"/>
              </w:rPr>
            </w:pPr>
            <w:r w:rsidRPr="009B0C51">
              <w:rPr>
                <w:rFonts w:ascii="Open Sans Light" w:hAnsi="Open Sans Light" w:cs="Open Sans Light"/>
              </w:rPr>
              <w:t xml:space="preserve">1. Métodos que parten de elementos no significativos de la palabra. </w:t>
            </w:r>
          </w:p>
          <w:p w14:paraId="2B8A1FAD" w14:textId="77777777" w:rsidR="009B0C51" w:rsidRPr="009B0C51" w:rsidRDefault="009B0C51" w:rsidP="00270EF6">
            <w:pPr>
              <w:jc w:val="both"/>
              <w:rPr>
                <w:rFonts w:ascii="Open Sans Light" w:hAnsi="Open Sans Light" w:cs="Open Sans Light"/>
              </w:rPr>
            </w:pPr>
            <w:r w:rsidRPr="009B0C51">
              <w:rPr>
                <w:rFonts w:ascii="Open Sans Light" w:hAnsi="Open Sans Light" w:cs="Open Sans Light"/>
              </w:rPr>
              <w:t>2. Métodos que parten de unidades significativas del lenguaje.</w:t>
            </w:r>
          </w:p>
          <w:p w14:paraId="6CEE051D" w14:textId="77777777" w:rsidR="009B0C51" w:rsidRPr="009B0C51" w:rsidRDefault="009B0C51" w:rsidP="00270EF6">
            <w:pPr>
              <w:jc w:val="both"/>
              <w:rPr>
                <w:rFonts w:ascii="Open Sans Light" w:hAnsi="Open Sans Light" w:cs="Open Sans Light"/>
              </w:rPr>
            </w:pPr>
          </w:p>
          <w:p w14:paraId="02471E81" w14:textId="77777777" w:rsidR="009B0C51" w:rsidRPr="009B0C51" w:rsidRDefault="009B0C51" w:rsidP="00270EF6">
            <w:pPr>
              <w:jc w:val="both"/>
              <w:rPr>
                <w:rFonts w:ascii="Open Sans Light" w:hAnsi="Open Sans Light" w:cs="Open Sans Light"/>
              </w:rPr>
            </w:pPr>
            <w:r w:rsidRPr="009B0C51">
              <w:rPr>
                <w:rFonts w:ascii="Open Sans Light" w:hAnsi="Open Sans Light" w:cs="Open Sans Light"/>
              </w:rPr>
              <w:t>Agrupamientos tradicionales:</w:t>
            </w:r>
          </w:p>
          <w:p w14:paraId="7D69DCCD" w14:textId="75DE56F6" w:rsidR="009B0C51" w:rsidRPr="009B0C51" w:rsidRDefault="009B0C51" w:rsidP="00270EF6">
            <w:pPr>
              <w:jc w:val="both"/>
              <w:rPr>
                <w:rFonts w:ascii="Open Sans Light" w:hAnsi="Open Sans Light" w:cs="Open Sans Light"/>
              </w:rPr>
            </w:pPr>
            <w:r w:rsidRPr="009B0C51">
              <w:rPr>
                <w:rFonts w:ascii="Open Sans Light" w:hAnsi="Open Sans Light" w:cs="Open Sans Light"/>
              </w:rPr>
              <w:t>•El primer grupo comprende los siguientes métodos:</w:t>
            </w:r>
          </w:p>
          <w:p w14:paraId="6148AF8A" w14:textId="7B7D1111" w:rsidR="009B0C51" w:rsidRPr="009B0C51" w:rsidRDefault="009B0C51" w:rsidP="00270EF6">
            <w:pPr>
              <w:jc w:val="both"/>
              <w:rPr>
                <w:rFonts w:ascii="Open Sans Light" w:hAnsi="Open Sans Light" w:cs="Open Sans Light"/>
              </w:rPr>
            </w:pPr>
            <w:r w:rsidRPr="009B0C51">
              <w:rPr>
                <w:rFonts w:ascii="Open Sans Light" w:hAnsi="Open Sans Light" w:cs="Open Sans Light"/>
              </w:rPr>
              <w:t xml:space="preserve"> -Alfabético, de la letra, literal o </w:t>
            </w:r>
            <w:r w:rsidR="00C70CC9" w:rsidRPr="009B0C51">
              <w:rPr>
                <w:rFonts w:ascii="Open Sans Light" w:hAnsi="Open Sans Light" w:cs="Open Sans Light"/>
              </w:rPr>
              <w:t>gramático</w:t>
            </w:r>
            <w:r w:rsidRPr="009B0C51">
              <w:rPr>
                <w:rFonts w:ascii="Open Sans Light" w:hAnsi="Open Sans Light" w:cs="Open Sans Light"/>
              </w:rPr>
              <w:t>; que se encarga de estudiar las letras, su forma. Va desde la letra a la palabra y establece con importancia el nombre de las letras.</w:t>
            </w:r>
          </w:p>
          <w:p w14:paraId="3C8336D8" w14:textId="77777777" w:rsidR="009B0C51" w:rsidRPr="009B0C51" w:rsidRDefault="009B0C51" w:rsidP="00270EF6">
            <w:pPr>
              <w:jc w:val="both"/>
              <w:rPr>
                <w:rFonts w:ascii="Open Sans Light" w:hAnsi="Open Sans Light" w:cs="Open Sans Light"/>
              </w:rPr>
            </w:pPr>
          </w:p>
          <w:p w14:paraId="022E6015" w14:textId="607CC0C7" w:rsidR="00C5771C" w:rsidRDefault="009B0C51" w:rsidP="00270EF6">
            <w:pPr>
              <w:jc w:val="both"/>
              <w:rPr>
                <w:rFonts w:ascii="Open Sans Light" w:hAnsi="Open Sans Light" w:cs="Open Sans Light"/>
              </w:rPr>
            </w:pPr>
            <w:r w:rsidRPr="009B0C51">
              <w:rPr>
                <w:rFonts w:ascii="Open Sans Light" w:hAnsi="Open Sans Light" w:cs="Open Sans Light"/>
              </w:rPr>
              <w:t xml:space="preserve"> -Fónicos, del sonido o del fonema; también conocido como método fonético lectoescritura, se basa en aprender en primer lugar, los sonidos sencillos para luego combinar varios sonidos y así, lograr de manera progresiva la adquisición de la lectura y la escritura.</w:t>
            </w:r>
          </w:p>
          <w:p w14:paraId="5A8EF24C" w14:textId="77777777" w:rsidR="009B0C51" w:rsidRDefault="009B0C51" w:rsidP="00270EF6">
            <w:pPr>
              <w:jc w:val="both"/>
              <w:rPr>
                <w:rFonts w:ascii="Open Sans Light" w:hAnsi="Open Sans Light" w:cs="Open Sans Light"/>
              </w:rPr>
            </w:pPr>
          </w:p>
          <w:p w14:paraId="77A7E196" w14:textId="3C1E7333" w:rsidR="009B0C51" w:rsidRPr="009B0C51" w:rsidRDefault="009B0C51" w:rsidP="00270EF6">
            <w:pPr>
              <w:jc w:val="both"/>
              <w:rPr>
                <w:rFonts w:ascii="Open Sans Light" w:hAnsi="Open Sans Light" w:cs="Open Sans Light"/>
              </w:rPr>
            </w:pPr>
            <w:r>
              <w:rPr>
                <w:rFonts w:ascii="Open Sans Light" w:hAnsi="Open Sans Light" w:cs="Open Sans Light"/>
              </w:rPr>
              <w:t>En</w:t>
            </w:r>
            <w:r>
              <w:t xml:space="preserve"> </w:t>
            </w:r>
            <w:r w:rsidRPr="009B0C51">
              <w:rPr>
                <w:rFonts w:ascii="Open Sans Light" w:hAnsi="Open Sans Light" w:cs="Open Sans Light"/>
              </w:rPr>
              <w:t>todos esos casos se parte de la percepción visual de la letra para asignarle un sonido.</w:t>
            </w:r>
          </w:p>
          <w:p w14:paraId="7E861D04" w14:textId="77777777" w:rsidR="009B0C51" w:rsidRPr="009B0C51" w:rsidRDefault="009B0C51" w:rsidP="00270EF6">
            <w:pPr>
              <w:jc w:val="both"/>
              <w:rPr>
                <w:rFonts w:ascii="Open Sans Light" w:hAnsi="Open Sans Light" w:cs="Open Sans Light"/>
              </w:rPr>
            </w:pPr>
          </w:p>
          <w:p w14:paraId="7A142773" w14:textId="0FFD5647" w:rsidR="009B0C51" w:rsidRPr="009B0C51" w:rsidRDefault="009B0C51" w:rsidP="00270EF6">
            <w:pPr>
              <w:jc w:val="both"/>
              <w:rPr>
                <w:rFonts w:ascii="Open Sans Light" w:hAnsi="Open Sans Light" w:cs="Open Sans Light"/>
              </w:rPr>
            </w:pPr>
            <w:r w:rsidRPr="009B0C51">
              <w:rPr>
                <w:rFonts w:ascii="Open Sans Light" w:hAnsi="Open Sans Light" w:cs="Open Sans Light"/>
              </w:rPr>
              <w:t>-Silábico; es la manera de instruir en la lectura mediante la combinación de vocales y consonantes. Con este método se van realizando la formación de silabas que formaran palabras, posteriormente frases, luego grandes oraciones.</w:t>
            </w:r>
          </w:p>
          <w:p w14:paraId="723A5080" w14:textId="77777777" w:rsidR="009B0C51" w:rsidRPr="009B0C51" w:rsidRDefault="009B0C51" w:rsidP="00270EF6">
            <w:pPr>
              <w:jc w:val="both"/>
              <w:rPr>
                <w:rFonts w:ascii="Open Sans Light" w:hAnsi="Open Sans Light" w:cs="Open Sans Light"/>
              </w:rPr>
            </w:pPr>
            <w:r w:rsidRPr="009B0C51">
              <w:rPr>
                <w:rFonts w:ascii="Open Sans Light" w:hAnsi="Open Sans Light" w:cs="Open Sans Light"/>
              </w:rPr>
              <w:t>Se comienza enseñando las vocales y luego la forma y el sonido de las sílabas. Se inicia con la primera sílaba de una palabra y después se hacen ejercicios componiendo palabras.</w:t>
            </w:r>
          </w:p>
          <w:p w14:paraId="422F23BA" w14:textId="1F52260F" w:rsidR="009B0C51" w:rsidRPr="009B0C51" w:rsidRDefault="009B0C51" w:rsidP="00270EF6">
            <w:pPr>
              <w:jc w:val="both"/>
              <w:rPr>
                <w:rFonts w:ascii="Open Sans Light" w:hAnsi="Open Sans Light" w:cs="Open Sans Light"/>
              </w:rPr>
            </w:pPr>
            <w:r w:rsidRPr="009B0C51">
              <w:rPr>
                <w:rFonts w:ascii="Open Sans Light" w:hAnsi="Open Sans Light" w:cs="Open Sans Light"/>
              </w:rPr>
              <w:t>-</w:t>
            </w:r>
            <w:r w:rsidR="00C70CC9" w:rsidRPr="009B0C51">
              <w:rPr>
                <w:rFonts w:ascii="Open Sans Light" w:hAnsi="Open Sans Light" w:cs="Open Sans Light"/>
              </w:rPr>
              <w:t>Psico fonético</w:t>
            </w:r>
            <w:r w:rsidRPr="009B0C51">
              <w:rPr>
                <w:rFonts w:ascii="Open Sans Light" w:hAnsi="Open Sans Light" w:cs="Open Sans Light"/>
              </w:rPr>
              <w:t>; Consiste en comparar las sílabas de diferentes palabras y utilizarlas para formar nuevas.</w:t>
            </w:r>
          </w:p>
          <w:p w14:paraId="257A7FB2" w14:textId="77777777" w:rsidR="009B0C51" w:rsidRPr="009B0C51" w:rsidRDefault="009B0C51" w:rsidP="00270EF6">
            <w:pPr>
              <w:jc w:val="both"/>
              <w:rPr>
                <w:rFonts w:ascii="Open Sans Light" w:hAnsi="Open Sans Light" w:cs="Open Sans Light"/>
              </w:rPr>
            </w:pPr>
          </w:p>
          <w:p w14:paraId="6781A36F" w14:textId="52C33191" w:rsidR="009B0C51" w:rsidRPr="009B0C51" w:rsidRDefault="009B0C51" w:rsidP="00270EF6">
            <w:pPr>
              <w:jc w:val="both"/>
              <w:rPr>
                <w:rFonts w:ascii="Open Sans Light" w:hAnsi="Open Sans Light" w:cs="Open Sans Light"/>
              </w:rPr>
            </w:pPr>
            <w:r w:rsidRPr="009B0C51">
              <w:rPr>
                <w:rFonts w:ascii="Open Sans Light" w:hAnsi="Open Sans Light" w:cs="Open Sans Light"/>
              </w:rPr>
              <w:t xml:space="preserve">•El segundo método comprende los siguientes métodos: </w:t>
            </w:r>
          </w:p>
          <w:p w14:paraId="7367B602" w14:textId="25515754" w:rsidR="009B0C51" w:rsidRPr="009B0C51" w:rsidRDefault="009B0C51" w:rsidP="00270EF6">
            <w:pPr>
              <w:jc w:val="both"/>
              <w:rPr>
                <w:rFonts w:ascii="Open Sans Light" w:hAnsi="Open Sans Light" w:cs="Open Sans Light"/>
              </w:rPr>
            </w:pPr>
            <w:r w:rsidRPr="009B0C51">
              <w:rPr>
                <w:rFonts w:ascii="Open Sans Light" w:hAnsi="Open Sans Light" w:cs="Open Sans Light"/>
              </w:rPr>
              <w:t>-De la palabra; que admite dos versiones: métodos de la palabra total, sin análisis y método de la palabra generadora, analítico-sintético. Ambas versiones ponen el acento en la palabra y no en la letra ni el sonido, aunque con muy distinto énfasis.</w:t>
            </w:r>
          </w:p>
          <w:p w14:paraId="6CBE5F03" w14:textId="3C8FE837" w:rsidR="009B0C51" w:rsidRPr="009B0C51" w:rsidRDefault="009B0C51" w:rsidP="00270EF6">
            <w:pPr>
              <w:jc w:val="both"/>
              <w:rPr>
                <w:rFonts w:ascii="Open Sans Light" w:hAnsi="Open Sans Light" w:cs="Open Sans Light"/>
              </w:rPr>
            </w:pPr>
            <w:r w:rsidRPr="009B0C51">
              <w:rPr>
                <w:rFonts w:ascii="Open Sans Light" w:hAnsi="Open Sans Light" w:cs="Open Sans Light"/>
              </w:rPr>
              <w:t xml:space="preserve"> -De la frase; se ha promovido la introducción de actividades previas que dan lugar a expresiones orales de los niños que se simplifican y se escriben en tiras de distintos tamaños, ya sea para exhibirlas en el aula o para que los niños las ilustren en sus pupitres y las conserven ordenadamente.</w:t>
            </w:r>
          </w:p>
          <w:p w14:paraId="2D307BD5" w14:textId="77CC5062" w:rsidR="009B0C51" w:rsidRDefault="009B0C51" w:rsidP="00270EF6">
            <w:pPr>
              <w:jc w:val="both"/>
              <w:rPr>
                <w:rFonts w:ascii="Open Sans Light" w:hAnsi="Open Sans Light" w:cs="Open Sans Light"/>
              </w:rPr>
            </w:pPr>
            <w:r w:rsidRPr="009B0C51">
              <w:rPr>
                <w:rFonts w:ascii="Open Sans Light" w:hAnsi="Open Sans Light" w:cs="Open Sans Light"/>
              </w:rPr>
              <w:t>-De la oración; emplea los procedimientos del anterior en contextos más amplios y complejos.</w:t>
            </w:r>
          </w:p>
          <w:p w14:paraId="1870A35E" w14:textId="7434A799" w:rsidR="009B0C51" w:rsidRPr="009B0C51" w:rsidRDefault="009B0C51" w:rsidP="00270EF6">
            <w:pPr>
              <w:jc w:val="both"/>
              <w:rPr>
                <w:rFonts w:ascii="Open Sans Light" w:hAnsi="Open Sans Light" w:cs="Open Sans Light"/>
              </w:rPr>
            </w:pPr>
            <w:r w:rsidRPr="009B0C51">
              <w:rPr>
                <w:rFonts w:ascii="Open Sans Light" w:hAnsi="Open Sans Light" w:cs="Open Sans Light"/>
              </w:rPr>
              <w:t>-Del cuento; el niño que ha oído repetidamente su lectura y la vivenció con intensidad, retiene su contenido y luego, al repasar con la vista la escritura, repitiendo el texto memorizado identifica palabras que le facilitan la transparencia para descubrirlas y leer palabras desconocidas en otros contextos.</w:t>
            </w:r>
          </w:p>
          <w:p w14:paraId="343814C8" w14:textId="378F05D1" w:rsidR="009B0C51" w:rsidRPr="009B0C51" w:rsidRDefault="009B0C51" w:rsidP="00270EF6">
            <w:pPr>
              <w:jc w:val="both"/>
              <w:rPr>
                <w:rFonts w:ascii="Open Sans Light" w:hAnsi="Open Sans Light" w:cs="Open Sans Light"/>
              </w:rPr>
            </w:pPr>
            <w:r w:rsidRPr="009B0C51">
              <w:rPr>
                <w:rFonts w:ascii="Open Sans Light" w:hAnsi="Open Sans Light" w:cs="Open Sans Light"/>
              </w:rPr>
              <w:t xml:space="preserve">-Del texto libre de </w:t>
            </w:r>
            <w:r w:rsidR="00C70CC9" w:rsidRPr="009B0C51">
              <w:rPr>
                <w:rFonts w:ascii="Open Sans Light" w:hAnsi="Open Sans Light" w:cs="Open Sans Light"/>
              </w:rPr>
              <w:t>Freinet</w:t>
            </w:r>
            <w:r w:rsidRPr="009B0C51">
              <w:rPr>
                <w:rFonts w:ascii="Open Sans Light" w:hAnsi="Open Sans Light" w:cs="Open Sans Light"/>
              </w:rPr>
              <w:t xml:space="preserve">; Toma como punto de partida la escritura que realiza el adulto mientras el niño le dicta algo que quiere </w:t>
            </w:r>
            <w:r w:rsidR="003B5506" w:rsidRPr="009B0C51">
              <w:rPr>
                <w:rFonts w:ascii="Open Sans Light" w:hAnsi="Open Sans Light" w:cs="Open Sans Light"/>
              </w:rPr>
              <w:t>comunicarles</w:t>
            </w:r>
            <w:r w:rsidRPr="009B0C51">
              <w:rPr>
                <w:rFonts w:ascii="Open Sans Light" w:hAnsi="Open Sans Light" w:cs="Open Sans Light"/>
              </w:rPr>
              <w:t xml:space="preserve"> a sus abuelas, su madrina o a un amigo, de este modo se puede establecer la correlación entre lo que está escrito y lo que dice verbalmente, encontrando relaciones entre palabras y sílabas y fonemas</w:t>
            </w:r>
          </w:p>
          <w:p w14:paraId="0427C75B" w14:textId="02B4A103" w:rsidR="009B0C51" w:rsidRPr="00C5771C" w:rsidRDefault="009B0C51" w:rsidP="00270EF6">
            <w:pPr>
              <w:jc w:val="both"/>
              <w:rPr>
                <w:rFonts w:ascii="Open Sans Light" w:hAnsi="Open Sans Light" w:cs="Open Sans Light"/>
              </w:rPr>
            </w:pPr>
            <w:r w:rsidRPr="009B0C51">
              <w:rPr>
                <w:rFonts w:ascii="Open Sans Light" w:hAnsi="Open Sans Light" w:cs="Open Sans Light"/>
              </w:rPr>
              <w:t>-De las experiencias con el lenguaje; La experiencia demostró que la mejor fuente de materiales de lenguaje está en los mismos niños cuando relatan sus propias experiencias con su propio lenguaje.</w:t>
            </w:r>
          </w:p>
        </w:tc>
        <w:tc>
          <w:tcPr>
            <w:tcW w:w="4425" w:type="dxa"/>
          </w:tcPr>
          <w:p w14:paraId="4D104F0A"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Ha sido muy difícil, ponerse de acuerdo en una definición de alfabetización, pero se puede generalizar como la habilidad para manejarse con las primeras letras, un período mecánico y previo a la lectura y la escritura propiamente dicha.</w:t>
            </w:r>
          </w:p>
          <w:p w14:paraId="05B52234"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Magda Soares (1992) sostiene que ello se debe a que el concepto de alfabetización involucra un conjunto de estructuras que van desde habilidades, destrezas y conocimientos individuales, pasando por prácticas sociales y competencias funcionales, hasta valores ideológicos y metas políticas.</w:t>
            </w:r>
          </w:p>
          <w:p w14:paraId="10EDEA21" w14:textId="77777777" w:rsidR="003B5506" w:rsidRPr="003B5506" w:rsidRDefault="003B5506" w:rsidP="00270EF6">
            <w:pPr>
              <w:jc w:val="both"/>
              <w:rPr>
                <w:rFonts w:ascii="Open Sans Light" w:hAnsi="Open Sans Light" w:cs="Open Sans Light"/>
              </w:rPr>
            </w:pPr>
          </w:p>
          <w:p w14:paraId="123BA12C"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Los métodos se dividen en sintéticos y analíticos.</w:t>
            </w:r>
          </w:p>
          <w:p w14:paraId="14A2DCC5" w14:textId="77777777" w:rsidR="003B5506" w:rsidRPr="003B5506" w:rsidRDefault="003B5506" w:rsidP="00270EF6">
            <w:pPr>
              <w:jc w:val="both"/>
              <w:rPr>
                <w:rFonts w:ascii="Open Sans Light" w:hAnsi="Open Sans Light" w:cs="Open Sans Light"/>
              </w:rPr>
            </w:pPr>
          </w:p>
          <w:p w14:paraId="4402CED0" w14:textId="7A3CE684" w:rsidR="003B5506" w:rsidRPr="003B5506" w:rsidRDefault="003B5506" w:rsidP="00270EF6">
            <w:pPr>
              <w:jc w:val="both"/>
              <w:rPr>
                <w:rFonts w:ascii="Open Sans Light" w:hAnsi="Open Sans Light" w:cs="Open Sans Light"/>
              </w:rPr>
            </w:pPr>
            <w:r w:rsidRPr="003B5506">
              <w:rPr>
                <w:rFonts w:ascii="Open Sans Light" w:hAnsi="Open Sans Light" w:cs="Open Sans Light"/>
              </w:rPr>
              <w:t>Los métodos sintéticos o de marcha sintética - que subsisten en nuestros días pueden partir de las letras (alfabético), de las sílabas (silábicos) o de los fonemas (fónicos). El orden de presentación de las unidades es un rasgo fundamental; por ejemplo: primero las vocales, luego las consonantes, después combinación de</w:t>
            </w:r>
            <w:r>
              <w:t xml:space="preserve"> </w:t>
            </w:r>
            <w:r w:rsidRPr="003B5506">
              <w:rPr>
                <w:rFonts w:ascii="Open Sans Light" w:hAnsi="Open Sans Light" w:cs="Open Sans Light"/>
              </w:rPr>
              <w:t>vocales entre sí, más tarde composiciones de vocales y consonantes.</w:t>
            </w:r>
          </w:p>
          <w:p w14:paraId="3AC4D3D6" w14:textId="77777777" w:rsidR="003B5506" w:rsidRPr="003B5506" w:rsidRDefault="003B5506" w:rsidP="00270EF6">
            <w:pPr>
              <w:jc w:val="both"/>
              <w:rPr>
                <w:rFonts w:ascii="Open Sans Light" w:hAnsi="Open Sans Light" w:cs="Open Sans Light"/>
              </w:rPr>
            </w:pPr>
          </w:p>
          <w:p w14:paraId="2BFF7D27"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Los métodos analíticos. Los libros de la época reflejan dos métodos predominantes: de la palabra entera y de la palabra generadora (la palabra seguida de análisis de las partes y vuelta al todo). La palabra pasa a ser la unidad lingüística con la que se empieza a enseñar y la discusión se centra en cuál es el análisis de las unidades que se requiere posteriormente, hasta qué unidad lingüística llegar con el análisis, cuánto tiempo permanecer en cada unidad de análisis.</w:t>
            </w:r>
          </w:p>
          <w:p w14:paraId="037114CB" w14:textId="77777777" w:rsidR="003B5506" w:rsidRPr="003B5506" w:rsidRDefault="003B5506" w:rsidP="00270EF6">
            <w:pPr>
              <w:jc w:val="both"/>
              <w:rPr>
                <w:rFonts w:ascii="Open Sans Light" w:hAnsi="Open Sans Light" w:cs="Open Sans Light"/>
              </w:rPr>
            </w:pPr>
          </w:p>
          <w:p w14:paraId="051794E0" w14:textId="24375822" w:rsidR="00C5771C" w:rsidRPr="00C5771C" w:rsidRDefault="003B5506" w:rsidP="00270EF6">
            <w:pPr>
              <w:jc w:val="both"/>
              <w:rPr>
                <w:rFonts w:ascii="Open Sans Light" w:hAnsi="Open Sans Light" w:cs="Open Sans Light"/>
              </w:rPr>
            </w:pPr>
            <w:r w:rsidRPr="003B5506">
              <w:rPr>
                <w:rFonts w:ascii="Open Sans Light" w:hAnsi="Open Sans Light" w:cs="Open Sans Light"/>
              </w:rPr>
              <w:t>Se parte de una unidad con significado como la palabra para después pasar a la oración y al texto, se analizan las palabras en letras y sílabas y después se las vuelven a componer.</w:t>
            </w:r>
          </w:p>
        </w:tc>
        <w:tc>
          <w:tcPr>
            <w:tcW w:w="3969" w:type="dxa"/>
          </w:tcPr>
          <w:p w14:paraId="75256CD7" w14:textId="68428196" w:rsidR="003B5506" w:rsidRPr="003B5506" w:rsidRDefault="003B5506" w:rsidP="00270EF6">
            <w:pPr>
              <w:jc w:val="both"/>
              <w:rPr>
                <w:rFonts w:ascii="Open Sans Light" w:hAnsi="Open Sans Light" w:cs="Open Sans Light"/>
              </w:rPr>
            </w:pPr>
            <w:r w:rsidRPr="003B5506">
              <w:rPr>
                <w:rFonts w:ascii="Open Sans Light" w:hAnsi="Open Sans Light" w:cs="Open Sans Light"/>
              </w:rPr>
              <w:t>Prefiriendo el uso plural de “alfabetizaciones”, enumera varias definiciones que se refieren a habilidades de leer, niveles de lectura y escritura, niveles de comprensión, dimensiones funcionales sociales y culturales.</w:t>
            </w:r>
          </w:p>
          <w:p w14:paraId="37CD6E64" w14:textId="77777777" w:rsidR="003B5506" w:rsidRPr="003B5506" w:rsidRDefault="003B5506" w:rsidP="00270EF6">
            <w:pPr>
              <w:jc w:val="both"/>
              <w:rPr>
                <w:rFonts w:ascii="Open Sans Light" w:hAnsi="Open Sans Light" w:cs="Open Sans Light"/>
              </w:rPr>
            </w:pPr>
          </w:p>
          <w:p w14:paraId="5F10B696"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 xml:space="preserve">La Universidad de Harvard, J. S. </w:t>
            </w:r>
            <w:proofErr w:type="spellStart"/>
            <w:r w:rsidRPr="003B5506">
              <w:rPr>
                <w:rFonts w:ascii="Open Sans Light" w:hAnsi="Open Sans Light" w:cs="Open Sans Light"/>
              </w:rPr>
              <w:t>Chall</w:t>
            </w:r>
            <w:proofErr w:type="spellEnd"/>
            <w:r w:rsidRPr="003B5506">
              <w:rPr>
                <w:rFonts w:ascii="Open Sans Light" w:hAnsi="Open Sans Light" w:cs="Open Sans Light"/>
              </w:rPr>
              <w:t xml:space="preserve"> (1990) sugiere los siguientes niveles: </w:t>
            </w:r>
          </w:p>
          <w:p w14:paraId="1F39848B"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 xml:space="preserve">1) por debajo del nivel funcional, que comprende desde el completamente iletrado hasta el que sólo lee etiquetas y signos; </w:t>
            </w:r>
          </w:p>
          <w:p w14:paraId="7C9E791F"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 xml:space="preserve">2) nivel funcional, que permite leer textos simples, tales como artículos fáciles de revistas y el “periódico local”; </w:t>
            </w:r>
          </w:p>
          <w:p w14:paraId="6699960B"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3) lectura avanzada, que permite leer textos escritos de manera abstracta, con capacidad de resolver problemas procesando una información compleja. Debería corresponderse con diez años de escolarización.</w:t>
            </w:r>
          </w:p>
          <w:p w14:paraId="56A9BD4F"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El modelo autónomo: trata a la escritura como una variable independiente, y considera a la alfabetización asociada al progreso, la civilización, la libertad individual, la movilidad social.  Es el modelo comúnmente asociado a la práctica escolar que, tradicionalmente, se ha ocupado con preferencia de los aspectos formales, a veces mecánicos de la escritura y de los métodos.</w:t>
            </w:r>
          </w:p>
          <w:p w14:paraId="48D05E09" w14:textId="77777777" w:rsidR="003B5506" w:rsidRPr="003B5506" w:rsidRDefault="003B5506" w:rsidP="00270EF6">
            <w:pPr>
              <w:jc w:val="both"/>
              <w:rPr>
                <w:rFonts w:ascii="Open Sans Light" w:hAnsi="Open Sans Light" w:cs="Open Sans Light"/>
              </w:rPr>
            </w:pPr>
          </w:p>
          <w:p w14:paraId="7CB44D0B" w14:textId="60E04909" w:rsidR="003B5506" w:rsidRPr="003B5506" w:rsidRDefault="003B5506" w:rsidP="00270EF6">
            <w:pPr>
              <w:jc w:val="both"/>
              <w:rPr>
                <w:rFonts w:ascii="Open Sans Light" w:hAnsi="Open Sans Light" w:cs="Open Sans Light"/>
              </w:rPr>
            </w:pPr>
            <w:r w:rsidRPr="003B5506">
              <w:rPr>
                <w:rFonts w:ascii="Open Sans Light" w:hAnsi="Open Sans Light" w:cs="Open Sans Light"/>
              </w:rPr>
              <w:t>El modelo ideológico, por el contrario, reconoce explícitamente que la práctica de la alfabetización no es neutral, sino que, en todos los casos, es producto de una cultura, de las estructuras de poder de una sociedad y de las instituciones en que se adquiere: la familia, la escuela, la iglesia, las organizaciones populares.</w:t>
            </w:r>
          </w:p>
          <w:p w14:paraId="12D3978A" w14:textId="77777777" w:rsidR="003B5506" w:rsidRPr="003B5506" w:rsidRDefault="003B5506" w:rsidP="00270EF6">
            <w:pPr>
              <w:jc w:val="both"/>
              <w:rPr>
                <w:rFonts w:ascii="Open Sans Light" w:hAnsi="Open Sans Light" w:cs="Open Sans Light"/>
              </w:rPr>
            </w:pPr>
          </w:p>
          <w:p w14:paraId="3F8FDBBE" w14:textId="3626688F" w:rsidR="00C5771C" w:rsidRDefault="003B5506" w:rsidP="00270EF6">
            <w:pPr>
              <w:jc w:val="both"/>
              <w:rPr>
                <w:rFonts w:ascii="Open Sans Light" w:hAnsi="Open Sans Light" w:cs="Open Sans Light"/>
              </w:rPr>
            </w:pPr>
            <w:r>
              <w:rPr>
                <w:rFonts w:ascii="Open Sans Light" w:hAnsi="Open Sans Light" w:cs="Open Sans Light"/>
              </w:rPr>
              <w:t>M</w:t>
            </w:r>
            <w:r w:rsidRPr="003B5506">
              <w:rPr>
                <w:rFonts w:ascii="Open Sans Light" w:hAnsi="Open Sans Light" w:cs="Open Sans Light"/>
              </w:rPr>
              <w:t xml:space="preserve">odelo </w:t>
            </w:r>
            <w:proofErr w:type="spellStart"/>
            <w:r>
              <w:rPr>
                <w:rFonts w:ascii="Open Sans Light" w:hAnsi="Open Sans Light" w:cs="Open Sans Light"/>
              </w:rPr>
              <w:t>co</w:t>
            </w:r>
            <w:proofErr w:type="spellEnd"/>
            <w:r>
              <w:rPr>
                <w:rFonts w:ascii="Open Sans Light" w:hAnsi="Open Sans Light" w:cs="Open Sans Light"/>
              </w:rPr>
              <w:t>-</w:t>
            </w:r>
            <w:r w:rsidRPr="003B5506">
              <w:rPr>
                <w:rFonts w:ascii="Open Sans Light" w:hAnsi="Open Sans Light" w:cs="Open Sans Light"/>
              </w:rPr>
              <w:t xml:space="preserve">constructivista El modelo de desarrollo de </w:t>
            </w:r>
            <w:r w:rsidR="00C70CC9" w:rsidRPr="003B5506">
              <w:rPr>
                <w:rFonts w:ascii="Open Sans Light" w:hAnsi="Open Sans Light" w:cs="Open Sans Light"/>
              </w:rPr>
              <w:t>Vygotsky</w:t>
            </w:r>
            <w:r w:rsidRPr="003B5506">
              <w:rPr>
                <w:rFonts w:ascii="Open Sans Light" w:hAnsi="Open Sans Light" w:cs="Open Sans Light"/>
              </w:rPr>
              <w:t xml:space="preserve"> explica el desarrollo individual en términos complejos de interacción de factores individuales, culturales, sociales e históricos.</w:t>
            </w:r>
          </w:p>
          <w:p w14:paraId="74B70C4B" w14:textId="4393192C" w:rsidR="003B5506" w:rsidRPr="00C5771C" w:rsidRDefault="003B5506" w:rsidP="00270EF6">
            <w:pPr>
              <w:jc w:val="both"/>
              <w:rPr>
                <w:rFonts w:ascii="Open Sans Light" w:hAnsi="Open Sans Light" w:cs="Open Sans Light"/>
              </w:rPr>
            </w:pPr>
            <w:r w:rsidRPr="003B5506">
              <w:rPr>
                <w:rFonts w:ascii="Open Sans Light" w:hAnsi="Open Sans Light" w:cs="Open Sans Light"/>
              </w:rPr>
              <w:t xml:space="preserve">El modelo </w:t>
            </w:r>
            <w:proofErr w:type="spellStart"/>
            <w:r w:rsidRPr="003B5506">
              <w:rPr>
                <w:rFonts w:ascii="Open Sans Light" w:hAnsi="Open Sans Light" w:cs="Open Sans Light"/>
              </w:rPr>
              <w:t>co</w:t>
            </w:r>
            <w:proofErr w:type="spellEnd"/>
            <w:r w:rsidRPr="003B5506">
              <w:rPr>
                <w:rFonts w:ascii="Open Sans Light" w:hAnsi="Open Sans Light" w:cs="Open Sans Light"/>
              </w:rPr>
              <w:t xml:space="preserve">-constructivista, que interpreta el aprendizaje individual como un fenómeno que es a la vez individual, cultural, social e histórico permite comprender también el papel que juega la escuela en ese aprendizaje. Papel que fue destacado por </w:t>
            </w:r>
            <w:r w:rsidR="00C70CC9" w:rsidRPr="003B5506">
              <w:rPr>
                <w:rFonts w:ascii="Open Sans Light" w:hAnsi="Open Sans Light" w:cs="Open Sans Light"/>
              </w:rPr>
              <w:t>Vygotsky</w:t>
            </w:r>
            <w:r w:rsidRPr="003B5506">
              <w:rPr>
                <w:rFonts w:ascii="Open Sans Light" w:hAnsi="Open Sans Light" w:cs="Open Sans Light"/>
              </w:rPr>
              <w:t xml:space="preserve"> al establecer los vínculos entre la prehistoria del lenguaje escrito en el desarrollo cultural que recorre el niño desde que inicia sus primeros aprendizajes en la familia, y la historia que se inicia en la escuela como lugar privilegiado para la adquisición de los procesos psicológicos superiores.</w:t>
            </w:r>
          </w:p>
        </w:tc>
      </w:tr>
      <w:tr w:rsidR="00270EF6" w:rsidRPr="00C5771C" w14:paraId="37E08CA4" w14:textId="77777777" w:rsidTr="00270EF6">
        <w:tc>
          <w:tcPr>
            <w:tcW w:w="1813" w:type="dxa"/>
          </w:tcPr>
          <w:p w14:paraId="0AD11F41" w14:textId="295DBEC8" w:rsidR="00C5771C" w:rsidRPr="009B0C51" w:rsidRDefault="00C5771C" w:rsidP="00270EF6">
            <w:pPr>
              <w:jc w:val="center"/>
              <w:rPr>
                <w:rFonts w:ascii="Open Sans Light" w:hAnsi="Open Sans Light" w:cs="Open Sans Light"/>
                <w:b/>
                <w:bCs/>
              </w:rPr>
            </w:pPr>
            <w:r w:rsidRPr="009B0C51">
              <w:rPr>
                <w:rFonts w:ascii="Open Sans Light" w:hAnsi="Open Sans Light" w:cs="Open Sans Light"/>
                <w:b/>
                <w:bCs/>
              </w:rPr>
              <w:t>Corriente teoría a la que se asocia.</w:t>
            </w:r>
          </w:p>
          <w:p w14:paraId="48607902" w14:textId="36342DE3" w:rsidR="00C5771C" w:rsidRPr="009B0C51" w:rsidRDefault="00C5771C" w:rsidP="00270EF6">
            <w:pPr>
              <w:rPr>
                <w:rFonts w:ascii="Open Sans Light" w:hAnsi="Open Sans Light" w:cs="Open Sans Light"/>
                <w:b/>
                <w:bCs/>
              </w:rPr>
            </w:pPr>
          </w:p>
        </w:tc>
        <w:tc>
          <w:tcPr>
            <w:tcW w:w="3827" w:type="dxa"/>
          </w:tcPr>
          <w:p w14:paraId="17885963" w14:textId="77777777" w:rsidR="003B5506" w:rsidRPr="003B5506" w:rsidRDefault="003B5506" w:rsidP="00270EF6">
            <w:pPr>
              <w:jc w:val="both"/>
              <w:rPr>
                <w:rFonts w:ascii="Open Sans Light" w:hAnsi="Open Sans Light" w:cs="Open Sans Light"/>
              </w:rPr>
            </w:pPr>
            <w:proofErr w:type="spellStart"/>
            <w:r w:rsidRPr="003B5506">
              <w:rPr>
                <w:rFonts w:ascii="Open Sans Light" w:hAnsi="Open Sans Light" w:cs="Open Sans Light"/>
              </w:rPr>
              <w:t>Durkin</w:t>
            </w:r>
            <w:proofErr w:type="spellEnd"/>
            <w:r w:rsidRPr="003B5506">
              <w:rPr>
                <w:rFonts w:ascii="Open Sans Light" w:hAnsi="Open Sans Light" w:cs="Open Sans Light"/>
              </w:rPr>
              <w:t xml:space="preserve"> describe la “teoría del esquema” como un intento para explicar de qué modo “la nueva información adquirida durante la lectura. Con la teoría del esquema, se puede explicar la anticipación como el adelanto de experiencias y de información sobre el contenido de lo que se va a leer y también las expectativas suscitadas sobre ese contenido. Gracias a esa anticipación se pueden formular supuestos, hipótesis, estrategias.</w:t>
            </w:r>
          </w:p>
          <w:p w14:paraId="64D9F358" w14:textId="77777777" w:rsidR="003B5506" w:rsidRPr="003B5506" w:rsidRDefault="003B5506" w:rsidP="00270EF6">
            <w:pPr>
              <w:jc w:val="both"/>
              <w:rPr>
                <w:rFonts w:ascii="Open Sans Light" w:hAnsi="Open Sans Light" w:cs="Open Sans Light"/>
              </w:rPr>
            </w:pPr>
          </w:p>
          <w:p w14:paraId="3F854461" w14:textId="77777777" w:rsidR="00C5771C" w:rsidRDefault="003B5506" w:rsidP="00270EF6">
            <w:pPr>
              <w:jc w:val="both"/>
              <w:rPr>
                <w:rFonts w:ascii="Open Sans Light" w:hAnsi="Open Sans Light" w:cs="Open Sans Light"/>
              </w:rPr>
            </w:pPr>
            <w:r w:rsidRPr="003B5506">
              <w:rPr>
                <w:rFonts w:ascii="Open Sans Light" w:hAnsi="Open Sans Light" w:cs="Open Sans Light"/>
              </w:rPr>
              <w:t>Strickland dice que “nuestros esquemas no están nunca completos”. Siempre faltan partes de la información. Esto se aplica en especial a los niños ya que son relativamente principiantes en el cúmulo de información.</w:t>
            </w:r>
          </w:p>
          <w:p w14:paraId="42818DF8"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Psicolingüística: la psicología de la infancia comenzó a ocuparse de los métodos del aprendizaje inicial de la lectura. La lingüística entró en la escena más adelante, hace dos décadas, o poco más, los maestros se guiaban por móviles psicológicos con la intención de que los alumnos comprendieran lo que se expresa y transmite en la escritura.</w:t>
            </w:r>
          </w:p>
          <w:p w14:paraId="7F302853" w14:textId="77777777" w:rsidR="003B5506" w:rsidRPr="003B5506" w:rsidRDefault="003B5506" w:rsidP="00270EF6">
            <w:pPr>
              <w:jc w:val="both"/>
              <w:rPr>
                <w:rFonts w:ascii="Open Sans Light" w:hAnsi="Open Sans Light" w:cs="Open Sans Light"/>
              </w:rPr>
            </w:pPr>
          </w:p>
          <w:p w14:paraId="7587F20F"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Lingüística:  Ante la necesidad de lograr una lectura comprensiva se recurre a las unidades significativas de la lengua.</w:t>
            </w:r>
          </w:p>
          <w:p w14:paraId="7B5E17AA" w14:textId="77777777" w:rsidR="003B5506" w:rsidRPr="003B5506" w:rsidRDefault="003B5506" w:rsidP="00270EF6">
            <w:pPr>
              <w:jc w:val="both"/>
              <w:rPr>
                <w:rFonts w:ascii="Open Sans Light" w:hAnsi="Open Sans Light" w:cs="Open Sans Light"/>
              </w:rPr>
            </w:pPr>
          </w:p>
          <w:p w14:paraId="380F2130" w14:textId="63BEDC73" w:rsidR="003B5506" w:rsidRPr="00C5771C" w:rsidRDefault="003B5506" w:rsidP="00270EF6">
            <w:pPr>
              <w:jc w:val="both"/>
              <w:rPr>
                <w:rFonts w:ascii="Open Sans Light" w:hAnsi="Open Sans Light" w:cs="Open Sans Light"/>
              </w:rPr>
            </w:pPr>
            <w:r w:rsidRPr="003B5506">
              <w:rPr>
                <w:rFonts w:ascii="Open Sans Light" w:hAnsi="Open Sans Light" w:cs="Open Sans Light"/>
              </w:rPr>
              <w:t>Sociolingüística:  consiste en reconocer lo que el niño ya sabe cuándo inicia el aprendizaje formal de la lectoescritura en la escuela y no tratarlo como si nada hubiera aprendido antes en su medio familiar y social.</w:t>
            </w:r>
          </w:p>
        </w:tc>
        <w:tc>
          <w:tcPr>
            <w:tcW w:w="4425" w:type="dxa"/>
          </w:tcPr>
          <w:p w14:paraId="3973FA80"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La teoría del déficit: Esta postura consistía en mantener a los niños realizando ejercitaciones donde no se leía, se escribía ni se sostenía ningún contacto con la lengua escrita, sino que se realizaban tareas de motricidad, discriminación visual, pronunciación, etc., durante bastante tiempo, hasta lograr determinado desempeño ajeno a las prácticas de cultura escrita</w:t>
            </w:r>
          </w:p>
          <w:p w14:paraId="315DD7A5" w14:textId="77777777" w:rsidR="003B5506" w:rsidRPr="003B5506" w:rsidRDefault="003B5506" w:rsidP="00270EF6">
            <w:pPr>
              <w:jc w:val="both"/>
              <w:rPr>
                <w:rFonts w:ascii="Open Sans Light" w:hAnsi="Open Sans Light" w:cs="Open Sans Light"/>
              </w:rPr>
            </w:pPr>
          </w:p>
          <w:p w14:paraId="7DBE4B90" w14:textId="5AB478A7" w:rsidR="003B5506" w:rsidRPr="003B5506" w:rsidRDefault="003B5506" w:rsidP="00270EF6">
            <w:pPr>
              <w:jc w:val="both"/>
              <w:rPr>
                <w:rFonts w:ascii="Open Sans Light" w:hAnsi="Open Sans Light" w:cs="Open Sans Light"/>
              </w:rPr>
            </w:pPr>
            <w:r w:rsidRPr="003B5506">
              <w:rPr>
                <w:rFonts w:ascii="Open Sans Light" w:hAnsi="Open Sans Light" w:cs="Open Sans Light"/>
              </w:rPr>
              <w:t xml:space="preserve">Por entonces, era ampliamente empleado el TEST ABC de </w:t>
            </w:r>
            <w:proofErr w:type="spellStart"/>
            <w:r w:rsidRPr="003B5506">
              <w:rPr>
                <w:rFonts w:ascii="Open Sans Light" w:hAnsi="Open Sans Light" w:cs="Open Sans Light"/>
              </w:rPr>
              <w:t>Lorenço</w:t>
            </w:r>
            <w:proofErr w:type="spellEnd"/>
            <w:r w:rsidRPr="003B5506">
              <w:rPr>
                <w:rFonts w:ascii="Open Sans Light" w:hAnsi="Open Sans Light" w:cs="Open Sans Light"/>
              </w:rPr>
              <w:t xml:space="preserve"> </w:t>
            </w:r>
            <w:proofErr w:type="spellStart"/>
            <w:r w:rsidRPr="003B5506">
              <w:rPr>
                <w:rFonts w:ascii="Open Sans Light" w:hAnsi="Open Sans Light" w:cs="Open Sans Light"/>
              </w:rPr>
              <w:t>Filho</w:t>
            </w:r>
            <w:proofErr w:type="spellEnd"/>
            <w:r w:rsidRPr="003B5506">
              <w:rPr>
                <w:rFonts w:ascii="Open Sans Light" w:hAnsi="Open Sans Light" w:cs="Open Sans Light"/>
              </w:rPr>
              <w:t>, sobre madurez para la lectura. Es una prueba de</w:t>
            </w:r>
            <w:r>
              <w:t xml:space="preserve"> </w:t>
            </w:r>
            <w:r w:rsidRPr="003B5506">
              <w:rPr>
                <w:rFonts w:ascii="Open Sans Light" w:hAnsi="Open Sans Light" w:cs="Open Sans Light"/>
              </w:rPr>
              <w:t>uso individual. Su objetivo es detectar la madurez de un niño para el aprendizaje de lectura y escritura.</w:t>
            </w:r>
          </w:p>
          <w:p w14:paraId="0865D65E" w14:textId="77777777" w:rsidR="003B5506" w:rsidRPr="003B5506" w:rsidRDefault="003B5506" w:rsidP="00270EF6">
            <w:pPr>
              <w:jc w:val="both"/>
              <w:rPr>
                <w:rFonts w:ascii="Open Sans Light" w:hAnsi="Open Sans Light" w:cs="Open Sans Light"/>
              </w:rPr>
            </w:pPr>
          </w:p>
          <w:p w14:paraId="45DD7BC9"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La psicolingüística: Se trata de un conjunto de habilidades y destrezas psiconeurológicas, aplicables a cualquier objeto, pero que no comprometen ningún proceso lingüístico ni cognitivo superior. Sin duda, todas ellas intervienen en el proceso de lectura y escritura, pero lo hacen a propósito de obtener y producir significados lingüísticos.</w:t>
            </w:r>
          </w:p>
          <w:p w14:paraId="5CE2AB3B" w14:textId="77777777" w:rsidR="003B5506" w:rsidRPr="003B5506" w:rsidRDefault="003B5506" w:rsidP="00270EF6">
            <w:pPr>
              <w:jc w:val="both"/>
              <w:rPr>
                <w:rFonts w:ascii="Open Sans Light" w:hAnsi="Open Sans Light" w:cs="Open Sans Light"/>
              </w:rPr>
            </w:pPr>
          </w:p>
          <w:p w14:paraId="7ECFCEC5" w14:textId="77777777" w:rsidR="003B5506" w:rsidRPr="003B5506" w:rsidRDefault="003B5506" w:rsidP="00270EF6">
            <w:pPr>
              <w:jc w:val="both"/>
              <w:rPr>
                <w:rFonts w:ascii="Open Sans Light" w:hAnsi="Open Sans Light" w:cs="Open Sans Light"/>
              </w:rPr>
            </w:pPr>
          </w:p>
          <w:p w14:paraId="053C61B1" w14:textId="76C7FD13" w:rsidR="003B5506" w:rsidRPr="003B5506" w:rsidRDefault="003B5506" w:rsidP="00270EF6">
            <w:pPr>
              <w:jc w:val="both"/>
              <w:rPr>
                <w:rFonts w:ascii="Open Sans Light" w:hAnsi="Open Sans Light" w:cs="Open Sans Light"/>
              </w:rPr>
            </w:pPr>
            <w:r w:rsidRPr="003B5506">
              <w:rPr>
                <w:rFonts w:ascii="Open Sans Light" w:hAnsi="Open Sans Light" w:cs="Open Sans Light"/>
              </w:rPr>
              <w:t xml:space="preserve">Sociolingüística: Asimismo considera los fundamentos sociolingüísticos relativos a la pragmática, los aportes de Halliday sobre los contextos funcionales del lenguaje y de </w:t>
            </w:r>
            <w:r w:rsidR="00C70CC9" w:rsidRPr="003B5506">
              <w:rPr>
                <w:rFonts w:ascii="Open Sans Light" w:hAnsi="Open Sans Light" w:cs="Open Sans Light"/>
              </w:rPr>
              <w:t>Harte</w:t>
            </w:r>
            <w:r w:rsidRPr="003B5506">
              <w:rPr>
                <w:rFonts w:ascii="Open Sans Light" w:hAnsi="Open Sans Light" w:cs="Open Sans Light"/>
              </w:rPr>
              <w:t xml:space="preserve"> sobre los contratos comunicativos. </w:t>
            </w:r>
          </w:p>
          <w:p w14:paraId="3778F1A6" w14:textId="787C7C2B" w:rsidR="00C5771C" w:rsidRPr="00C5771C" w:rsidRDefault="003B5506" w:rsidP="00270EF6">
            <w:pPr>
              <w:jc w:val="both"/>
              <w:rPr>
                <w:rFonts w:ascii="Open Sans Light" w:hAnsi="Open Sans Light" w:cs="Open Sans Light"/>
              </w:rPr>
            </w:pPr>
            <w:r w:rsidRPr="003B5506">
              <w:rPr>
                <w:rFonts w:ascii="Open Sans Light" w:hAnsi="Open Sans Light" w:cs="Open Sans Light"/>
              </w:rPr>
              <w:t>La última destaca “la importancia de reemplazar las gramáticas oracionales por gramáticas textuales y de reconocer la función de la pragmática para entender a ambas” (Condemarín, 2003:196).</w:t>
            </w:r>
          </w:p>
        </w:tc>
        <w:tc>
          <w:tcPr>
            <w:tcW w:w="3969" w:type="dxa"/>
          </w:tcPr>
          <w:p w14:paraId="1C218614" w14:textId="77777777" w:rsidR="006C04F7" w:rsidRPr="006C04F7" w:rsidRDefault="006C04F7" w:rsidP="00270EF6">
            <w:pPr>
              <w:jc w:val="both"/>
              <w:rPr>
                <w:rFonts w:ascii="Open Sans Light" w:hAnsi="Open Sans Light" w:cs="Open Sans Light"/>
              </w:rPr>
            </w:pPr>
            <w:r w:rsidRPr="006C04F7">
              <w:rPr>
                <w:rFonts w:ascii="Open Sans Light" w:hAnsi="Open Sans Light" w:cs="Open Sans Light"/>
              </w:rPr>
              <w:t>Sociolingüística:  Campo científico que compete a la lingüística y la sociología. Definiéndose como el estudio de la influencia de la sociedad en el lenguaje, incluyendo las normas culturales, las expectativas y el contexto en que se mueven los hablantes.</w:t>
            </w:r>
          </w:p>
          <w:p w14:paraId="4D216FCD" w14:textId="77777777" w:rsidR="006C04F7" w:rsidRPr="006C04F7" w:rsidRDefault="006C04F7" w:rsidP="00270EF6">
            <w:pPr>
              <w:jc w:val="both"/>
              <w:rPr>
                <w:rFonts w:ascii="Open Sans Light" w:hAnsi="Open Sans Light" w:cs="Open Sans Light"/>
              </w:rPr>
            </w:pPr>
          </w:p>
          <w:p w14:paraId="4AF0F603" w14:textId="24A8207A" w:rsidR="006C04F7" w:rsidRPr="006C04F7" w:rsidRDefault="006C04F7" w:rsidP="00270EF6">
            <w:pPr>
              <w:jc w:val="both"/>
              <w:rPr>
                <w:rFonts w:ascii="Open Sans Light" w:hAnsi="Open Sans Light" w:cs="Open Sans Light"/>
              </w:rPr>
            </w:pPr>
            <w:r w:rsidRPr="006C04F7">
              <w:rPr>
                <w:rFonts w:ascii="Open Sans Light" w:hAnsi="Open Sans Light" w:cs="Open Sans Light"/>
              </w:rPr>
              <w:t>Psicolingüística:  Es una rama de la psicología interesada en cómo la especie humana adquiere el lenguaje y los mecanismos cognitivos que</w:t>
            </w:r>
            <w:r>
              <w:t xml:space="preserve"> </w:t>
            </w:r>
            <w:r w:rsidRPr="006C04F7">
              <w:rPr>
                <w:rFonts w:ascii="Open Sans Light" w:hAnsi="Open Sans Light" w:cs="Open Sans Light"/>
              </w:rPr>
              <w:t>intervienen en el procesamiento de la información lingüística.</w:t>
            </w:r>
          </w:p>
          <w:p w14:paraId="191AA90F" w14:textId="77777777" w:rsidR="006C04F7" w:rsidRPr="006C04F7" w:rsidRDefault="006C04F7" w:rsidP="00270EF6">
            <w:pPr>
              <w:jc w:val="both"/>
              <w:rPr>
                <w:rFonts w:ascii="Open Sans Light" w:hAnsi="Open Sans Light" w:cs="Open Sans Light"/>
              </w:rPr>
            </w:pPr>
          </w:p>
          <w:p w14:paraId="35DB4486" w14:textId="2ED4615E" w:rsidR="00C5771C" w:rsidRPr="00C5771C" w:rsidRDefault="006C04F7" w:rsidP="00270EF6">
            <w:pPr>
              <w:jc w:val="both"/>
              <w:rPr>
                <w:rFonts w:ascii="Open Sans Light" w:hAnsi="Open Sans Light" w:cs="Open Sans Light"/>
              </w:rPr>
            </w:pPr>
            <w:r w:rsidRPr="006C04F7">
              <w:rPr>
                <w:rFonts w:ascii="Open Sans Light" w:hAnsi="Open Sans Light" w:cs="Open Sans Light"/>
              </w:rPr>
              <w:t>Los enfoques de Bourdieu y Passeron sobre la teoría de la reproducción para demostrar de qué manera la ideología dominante se reproduce en la ideología de la alfabetización, el conflicto que se puede generar en las clases oprimidas cuando esas ideologías dominantes son trasladadas a las actitudes y a la práctica de los maestros y, finalmente, cómo ese conflicto construye paso a paso el fracaso escolar.</w:t>
            </w:r>
          </w:p>
        </w:tc>
      </w:tr>
      <w:tr w:rsidR="00270EF6" w:rsidRPr="00C5771C" w14:paraId="366DC574" w14:textId="77777777" w:rsidTr="00270EF6">
        <w:tc>
          <w:tcPr>
            <w:tcW w:w="1813" w:type="dxa"/>
          </w:tcPr>
          <w:p w14:paraId="4CD4C836" w14:textId="2E2AC7A1" w:rsidR="00C5771C" w:rsidRPr="009B0C51" w:rsidRDefault="009B0C51" w:rsidP="00270EF6">
            <w:pPr>
              <w:jc w:val="center"/>
              <w:rPr>
                <w:rFonts w:ascii="Open Sans Light" w:hAnsi="Open Sans Light" w:cs="Open Sans Light"/>
                <w:b/>
                <w:bCs/>
              </w:rPr>
            </w:pPr>
            <w:r w:rsidRPr="009B0C51">
              <w:rPr>
                <w:rFonts w:ascii="Open Sans Light" w:hAnsi="Open Sans Light" w:cs="Open Sans Light"/>
                <w:b/>
                <w:bCs/>
              </w:rPr>
              <w:t>Época.</w:t>
            </w:r>
          </w:p>
          <w:p w14:paraId="3C803FC0" w14:textId="13A8C686" w:rsidR="00C5771C" w:rsidRPr="009B0C51" w:rsidRDefault="00C5771C" w:rsidP="00270EF6">
            <w:pPr>
              <w:rPr>
                <w:rFonts w:ascii="Open Sans Light" w:hAnsi="Open Sans Light" w:cs="Open Sans Light"/>
                <w:b/>
                <w:bCs/>
              </w:rPr>
            </w:pPr>
          </w:p>
        </w:tc>
        <w:tc>
          <w:tcPr>
            <w:tcW w:w="3827" w:type="dxa"/>
          </w:tcPr>
          <w:p w14:paraId="71B9DD68" w14:textId="77777777" w:rsidR="00C5771C" w:rsidRDefault="006C04F7" w:rsidP="00270EF6">
            <w:pPr>
              <w:jc w:val="both"/>
              <w:rPr>
                <w:rFonts w:ascii="Open Sans Light" w:hAnsi="Open Sans Light" w:cs="Open Sans Light"/>
              </w:rPr>
            </w:pPr>
            <w:r w:rsidRPr="006C04F7">
              <w:rPr>
                <w:rFonts w:ascii="Open Sans Light" w:hAnsi="Open Sans Light" w:cs="Open Sans Light"/>
              </w:rPr>
              <w:t>A principios del siglo XVII avanzaban cambios históricos orientados por nuevos prototipos sociales que generaban la necesidad de leer y escribir cuando la mayoría de la población era todavía analfabeta.</w:t>
            </w:r>
          </w:p>
          <w:p w14:paraId="1F1A903A" w14:textId="268F276A" w:rsidR="006C04F7" w:rsidRPr="00C5771C" w:rsidRDefault="006C04F7" w:rsidP="00270EF6">
            <w:pPr>
              <w:jc w:val="both"/>
              <w:rPr>
                <w:rFonts w:ascii="Open Sans Light" w:hAnsi="Open Sans Light" w:cs="Open Sans Light"/>
              </w:rPr>
            </w:pPr>
            <w:r w:rsidRPr="006C04F7">
              <w:rPr>
                <w:rFonts w:ascii="Open Sans Light" w:hAnsi="Open Sans Light" w:cs="Open Sans Light"/>
              </w:rPr>
              <w:t>La evolución de los métodos responde al propósito de imponer la comprensión que no nace ahora, sino que se remonta al siglo XVII.</w:t>
            </w:r>
          </w:p>
        </w:tc>
        <w:tc>
          <w:tcPr>
            <w:tcW w:w="4425" w:type="dxa"/>
          </w:tcPr>
          <w:p w14:paraId="591BD4FD" w14:textId="4102C190" w:rsidR="00C5771C" w:rsidRPr="00C5771C" w:rsidRDefault="006C04F7" w:rsidP="00270EF6">
            <w:pPr>
              <w:jc w:val="both"/>
              <w:rPr>
                <w:rFonts w:ascii="Open Sans Light" w:hAnsi="Open Sans Light" w:cs="Open Sans Light"/>
              </w:rPr>
            </w:pPr>
            <w:r w:rsidRPr="006C04F7">
              <w:rPr>
                <w:rFonts w:ascii="Open Sans Light" w:hAnsi="Open Sans Light" w:cs="Open Sans Light"/>
              </w:rPr>
              <w:t>Desde el S. XVII, cuando Comenio inaugura el problema del método, hasta mediados del S. XX, las discusiones sobre la alfabetización giraron fuertemente</w:t>
            </w:r>
            <w:r>
              <w:t xml:space="preserve"> </w:t>
            </w:r>
            <w:r w:rsidRPr="006C04F7">
              <w:rPr>
                <w:rFonts w:ascii="Open Sans Light" w:hAnsi="Open Sans Light" w:cs="Open Sans Light"/>
              </w:rPr>
              <w:t>alrededor del método. Básicamente en torno a si llevar adelante métodos de marcha sintética desde unidades menores como la letra a unidades cada vez mayores como la sílaba, la palabra o el texto) o analítica (desde unidades mayores, por ejemplo, la palabra, a unidades menores como las letras).</w:t>
            </w:r>
          </w:p>
        </w:tc>
        <w:tc>
          <w:tcPr>
            <w:tcW w:w="3969" w:type="dxa"/>
          </w:tcPr>
          <w:p w14:paraId="1BC6D889" w14:textId="3B3BAD07" w:rsidR="00C5771C" w:rsidRPr="00C5771C" w:rsidRDefault="006C04F7" w:rsidP="00270EF6">
            <w:pPr>
              <w:jc w:val="both"/>
              <w:rPr>
                <w:rFonts w:ascii="Open Sans Light" w:hAnsi="Open Sans Light" w:cs="Open Sans Light"/>
              </w:rPr>
            </w:pPr>
            <w:r w:rsidRPr="006C04F7">
              <w:rPr>
                <w:rFonts w:ascii="Open Sans Light" w:hAnsi="Open Sans Light" w:cs="Open Sans Light"/>
              </w:rPr>
              <w:t>La Década de la Alfabetización (2003-2012), que se lanza por iniciativa de las Naciones Unidas, se presenta con “una visión renovada”. Ahora la</w:t>
            </w:r>
            <w:r>
              <w:t xml:space="preserve"> </w:t>
            </w:r>
            <w:r w:rsidRPr="006C04F7">
              <w:rPr>
                <w:rFonts w:ascii="Open Sans Light" w:hAnsi="Open Sans Light" w:cs="Open Sans Light"/>
              </w:rPr>
              <w:t>alfabetización se entiende como un largo proceso que comprende todo el desarrollo humano, que cambia en las culturas y en la historia; que, efectivamente, mucho tiene que ver con la escuela, sobre todo si dicha alfabetización se contextualiza en el entorno escolar; pero que también depende de la sociedad y de la política.</w:t>
            </w:r>
          </w:p>
        </w:tc>
      </w:tr>
      <w:tr w:rsidR="00270EF6" w:rsidRPr="00C5771C" w14:paraId="5D70ACBE" w14:textId="77777777" w:rsidTr="00270EF6">
        <w:tc>
          <w:tcPr>
            <w:tcW w:w="1813" w:type="dxa"/>
          </w:tcPr>
          <w:p w14:paraId="3374C9EE" w14:textId="100C9AC1" w:rsidR="00C5771C" w:rsidRPr="009B0C51" w:rsidRDefault="009B0C51" w:rsidP="00270EF6">
            <w:pPr>
              <w:jc w:val="center"/>
              <w:rPr>
                <w:rFonts w:ascii="Open Sans Light" w:hAnsi="Open Sans Light" w:cs="Open Sans Light"/>
                <w:b/>
                <w:bCs/>
              </w:rPr>
            </w:pPr>
            <w:r w:rsidRPr="009B0C51">
              <w:rPr>
                <w:rFonts w:ascii="Open Sans Light" w:hAnsi="Open Sans Light" w:cs="Open Sans Light"/>
                <w:b/>
                <w:bCs/>
              </w:rPr>
              <w:t>Concepción sobre el sujeto.</w:t>
            </w:r>
          </w:p>
          <w:p w14:paraId="2C3CCA22" w14:textId="1A11AF0A" w:rsidR="00C5771C" w:rsidRPr="009B0C51" w:rsidRDefault="00C5771C" w:rsidP="00270EF6">
            <w:pPr>
              <w:rPr>
                <w:rFonts w:ascii="Open Sans Light" w:hAnsi="Open Sans Light" w:cs="Open Sans Light"/>
                <w:b/>
                <w:bCs/>
              </w:rPr>
            </w:pPr>
          </w:p>
        </w:tc>
        <w:tc>
          <w:tcPr>
            <w:tcW w:w="3827" w:type="dxa"/>
          </w:tcPr>
          <w:p w14:paraId="6439F9DE" w14:textId="77777777" w:rsidR="006C04F7" w:rsidRPr="006C04F7" w:rsidRDefault="006C04F7" w:rsidP="00270EF6">
            <w:pPr>
              <w:jc w:val="both"/>
              <w:rPr>
                <w:rFonts w:ascii="Open Sans Light" w:hAnsi="Open Sans Light" w:cs="Open Sans Light"/>
              </w:rPr>
            </w:pPr>
            <w:r w:rsidRPr="006C04F7">
              <w:rPr>
                <w:rFonts w:ascii="Open Sans Light" w:hAnsi="Open Sans Light" w:cs="Open Sans Light"/>
              </w:rPr>
              <w:t>Algunos métodos se atienen a la espontaneidad del aprendizaje que estimulan en talleres, actividades grupales y la participación del niño en la vida democrática de la escuela. Otras direcciones sistematizan la enseñanza a partir de los primeros descubrimientos que hace el niño de la similitud de palabras o de sílabas.</w:t>
            </w:r>
          </w:p>
          <w:p w14:paraId="33234FC5" w14:textId="1F3399C9" w:rsidR="00C5771C" w:rsidRPr="00C5771C" w:rsidRDefault="006C04F7" w:rsidP="00270EF6">
            <w:pPr>
              <w:jc w:val="both"/>
              <w:rPr>
                <w:rFonts w:ascii="Open Sans Light" w:hAnsi="Open Sans Light" w:cs="Open Sans Light"/>
              </w:rPr>
            </w:pPr>
            <w:r w:rsidRPr="006C04F7">
              <w:rPr>
                <w:rFonts w:ascii="Open Sans Light" w:hAnsi="Open Sans Light" w:cs="Open Sans Light"/>
              </w:rPr>
              <w:t>H. Wallon menciona:  El niño trata de relacionar el todo con las partes mediante una actividad que se parece a la de análisis y síntesis, pero lo hace de manera incierta. El niño actúa en las experiencias cognitivas y lingüísticas para adelantar desde la anticipación, la experiencia de leer de manera interactiva con medios adquiridos para los “ajustes sucesivos”, o las “regulaciones intuitivas” que le permitirán comprender y evaluar lo que está escrito.</w:t>
            </w:r>
          </w:p>
        </w:tc>
        <w:tc>
          <w:tcPr>
            <w:tcW w:w="4425" w:type="dxa"/>
          </w:tcPr>
          <w:p w14:paraId="6CB8151A" w14:textId="696C8CD1" w:rsidR="00C5771C" w:rsidRPr="00C5771C" w:rsidRDefault="006C04F7" w:rsidP="00270EF6">
            <w:pPr>
              <w:jc w:val="both"/>
              <w:rPr>
                <w:rFonts w:ascii="Open Sans Light" w:hAnsi="Open Sans Light" w:cs="Open Sans Light"/>
              </w:rPr>
            </w:pPr>
            <w:r w:rsidRPr="006C04F7">
              <w:rPr>
                <w:rFonts w:ascii="Open Sans Light" w:hAnsi="Open Sans Light" w:cs="Open Sans Light"/>
              </w:rPr>
              <w:t>Las dificultades y el fracaso escolar de los niños especialmente de sectores desfavorecidos se intentan explicar como consecuencia de carencias en el lenguaje tanto en el léxico –deficiencias en el vocabulario- como en la sintaxis –utilización de estructuras gramaticales.</w:t>
            </w:r>
          </w:p>
        </w:tc>
        <w:tc>
          <w:tcPr>
            <w:tcW w:w="3969" w:type="dxa"/>
          </w:tcPr>
          <w:p w14:paraId="6D0E6CCC" w14:textId="1AA9248B" w:rsidR="00C5771C" w:rsidRPr="00C5771C" w:rsidRDefault="006C04F7" w:rsidP="00270EF6">
            <w:pPr>
              <w:jc w:val="both"/>
              <w:rPr>
                <w:rFonts w:ascii="Open Sans Light" w:hAnsi="Open Sans Light" w:cs="Open Sans Light"/>
              </w:rPr>
            </w:pPr>
            <w:r w:rsidRPr="006C04F7">
              <w:rPr>
                <w:rFonts w:ascii="Open Sans Light" w:hAnsi="Open Sans Light" w:cs="Open Sans Light"/>
              </w:rPr>
              <w:t xml:space="preserve">Se generaliza una nueva noción del tiempo que ocupará la alfabetización en la vida humana. Antes se entendía que ese proceso debía iniciarse deliberadamente en determinado momento del desarrollo individual y los sistemas formales regularon normas para su comienzo a los 6 </w:t>
            </w:r>
            <w:proofErr w:type="spellStart"/>
            <w:r w:rsidRPr="006C04F7">
              <w:rPr>
                <w:rFonts w:ascii="Open Sans Light" w:hAnsi="Open Sans Light" w:cs="Open Sans Light"/>
              </w:rPr>
              <w:t>ó</w:t>
            </w:r>
            <w:proofErr w:type="spellEnd"/>
            <w:r w:rsidRPr="006C04F7">
              <w:rPr>
                <w:rFonts w:ascii="Open Sans Light" w:hAnsi="Open Sans Light" w:cs="Open Sans Light"/>
              </w:rPr>
              <w:t xml:space="preserve"> 7 años con una duración variable de 3, 4 </w:t>
            </w:r>
            <w:proofErr w:type="spellStart"/>
            <w:r w:rsidRPr="006C04F7">
              <w:rPr>
                <w:rFonts w:ascii="Open Sans Light" w:hAnsi="Open Sans Light" w:cs="Open Sans Light"/>
              </w:rPr>
              <w:t>ó</w:t>
            </w:r>
            <w:proofErr w:type="spellEnd"/>
            <w:r w:rsidRPr="006C04F7">
              <w:rPr>
                <w:rFonts w:ascii="Open Sans Light" w:hAnsi="Open Sans Light" w:cs="Open Sans Light"/>
              </w:rPr>
              <w:t xml:space="preserve"> 6 años de escolarización persiguiendo</w:t>
            </w:r>
          </w:p>
        </w:tc>
      </w:tr>
      <w:tr w:rsidR="00270EF6" w:rsidRPr="00C5771C" w14:paraId="145C5639" w14:textId="77777777" w:rsidTr="00270EF6">
        <w:tc>
          <w:tcPr>
            <w:tcW w:w="1813" w:type="dxa"/>
          </w:tcPr>
          <w:p w14:paraId="45B1DD48" w14:textId="23337895" w:rsidR="00C5771C" w:rsidRPr="009B0C51" w:rsidRDefault="009B0C51" w:rsidP="00270EF6">
            <w:pPr>
              <w:jc w:val="center"/>
              <w:rPr>
                <w:rFonts w:ascii="Open Sans Light" w:hAnsi="Open Sans Light" w:cs="Open Sans Light"/>
                <w:b/>
                <w:bCs/>
              </w:rPr>
            </w:pPr>
            <w:r w:rsidRPr="009B0C51">
              <w:rPr>
                <w:rFonts w:ascii="Open Sans Light" w:hAnsi="Open Sans Light" w:cs="Open Sans Light"/>
                <w:b/>
                <w:bCs/>
              </w:rPr>
              <w:t>Concepción sobre lenguaje.</w:t>
            </w:r>
          </w:p>
          <w:p w14:paraId="469FDEBF" w14:textId="22738B40" w:rsidR="00C5771C" w:rsidRPr="009B0C51" w:rsidRDefault="00C5771C" w:rsidP="00270EF6">
            <w:pPr>
              <w:rPr>
                <w:rFonts w:ascii="Open Sans Light" w:hAnsi="Open Sans Light" w:cs="Open Sans Light"/>
                <w:b/>
                <w:bCs/>
              </w:rPr>
            </w:pPr>
          </w:p>
        </w:tc>
        <w:tc>
          <w:tcPr>
            <w:tcW w:w="3827" w:type="dxa"/>
          </w:tcPr>
          <w:p w14:paraId="7E312A89" w14:textId="64739C89" w:rsidR="00C5771C" w:rsidRPr="00C5771C" w:rsidRDefault="006C04F7" w:rsidP="00270EF6">
            <w:pPr>
              <w:jc w:val="both"/>
              <w:rPr>
                <w:rFonts w:ascii="Open Sans Light" w:hAnsi="Open Sans Light" w:cs="Open Sans Light"/>
              </w:rPr>
            </w:pPr>
            <w:r w:rsidRPr="006C04F7">
              <w:rPr>
                <w:rFonts w:ascii="Open Sans Light" w:hAnsi="Open Sans Light" w:cs="Open Sans Light"/>
              </w:rPr>
              <w:t>Si el niño ha comprendido que el lenguaje hablado está estructurado en palabras; si ha desarrollado su oído fonemático comprendiendo como cambia el valor de un grafema según el lugar que ocupa en el contexto de la palabra; si analiza un texto escrito que expresa lo que él</w:t>
            </w:r>
            <w:r>
              <w:t xml:space="preserve"> </w:t>
            </w:r>
            <w:r w:rsidRPr="006C04F7">
              <w:rPr>
                <w:rFonts w:ascii="Open Sans Light" w:hAnsi="Open Sans Light" w:cs="Open Sans Light"/>
              </w:rPr>
              <w:t>mismo formuló oralmente; si realiza todas esas experiencias, puede utilizarlas como anticipaciones cuando él mismo intenta comprender un texto escrito.</w:t>
            </w:r>
          </w:p>
        </w:tc>
        <w:tc>
          <w:tcPr>
            <w:tcW w:w="4425" w:type="dxa"/>
          </w:tcPr>
          <w:p w14:paraId="3F39D237" w14:textId="7B476F4F" w:rsidR="00C5771C" w:rsidRPr="00C5771C" w:rsidRDefault="006C04F7" w:rsidP="00270EF6">
            <w:pPr>
              <w:jc w:val="both"/>
              <w:rPr>
                <w:rFonts w:ascii="Open Sans Light" w:hAnsi="Open Sans Light" w:cs="Open Sans Light"/>
              </w:rPr>
            </w:pPr>
            <w:r w:rsidRPr="006C04F7">
              <w:rPr>
                <w:rFonts w:ascii="Open Sans Light" w:hAnsi="Open Sans Light" w:cs="Open Sans Light"/>
              </w:rPr>
              <w:t>En el aprendizaje y desarrollo de la lectura y la escritura, propone integrar –de allí el nombre del artículo, un modelo holístico y un modelo de destrezas: “…una propuesta que integre los aportes de las distintas</w:t>
            </w:r>
            <w:r>
              <w:t xml:space="preserve"> </w:t>
            </w:r>
            <w:r w:rsidRPr="006C04F7">
              <w:rPr>
                <w:rFonts w:ascii="Open Sans Light" w:hAnsi="Open Sans Light" w:cs="Open Sans Light"/>
              </w:rPr>
              <w:t>disciplinas al campo del aprendizaje y desarrollo del lenguaje escrito”.</w:t>
            </w:r>
          </w:p>
        </w:tc>
        <w:tc>
          <w:tcPr>
            <w:tcW w:w="3969" w:type="dxa"/>
          </w:tcPr>
          <w:p w14:paraId="240783DB" w14:textId="77777777" w:rsidR="00E17CB6" w:rsidRDefault="006C04F7" w:rsidP="00270EF6">
            <w:pPr>
              <w:jc w:val="both"/>
              <w:rPr>
                <w:rFonts w:ascii="Open Sans Light" w:hAnsi="Open Sans Light" w:cs="Open Sans Light"/>
              </w:rPr>
            </w:pPr>
            <w:r w:rsidRPr="006C04F7">
              <w:rPr>
                <w:rFonts w:ascii="Open Sans Light" w:hAnsi="Open Sans Light" w:cs="Open Sans Light"/>
              </w:rPr>
              <w:t>William Gray (1957) publicó una primera clasificación de los niveles:</w:t>
            </w:r>
          </w:p>
          <w:p w14:paraId="5361C3DB" w14:textId="0D45C162" w:rsidR="00E17CB6" w:rsidRDefault="006C04F7" w:rsidP="00270EF6">
            <w:pPr>
              <w:jc w:val="both"/>
              <w:rPr>
                <w:rFonts w:ascii="Open Sans Light" w:hAnsi="Open Sans Light" w:cs="Open Sans Light"/>
              </w:rPr>
            </w:pPr>
            <w:r w:rsidRPr="006C04F7">
              <w:rPr>
                <w:rFonts w:ascii="Open Sans Light" w:hAnsi="Open Sans Light" w:cs="Open Sans Light"/>
              </w:rPr>
              <w:t>1) las normas mínimas de alfabetización</w:t>
            </w:r>
            <w:r w:rsidR="00E17CB6">
              <w:rPr>
                <w:rFonts w:ascii="Open Sans Light" w:hAnsi="Open Sans Light" w:cs="Open Sans Light"/>
              </w:rPr>
              <w:t>.</w:t>
            </w:r>
          </w:p>
          <w:p w14:paraId="71AB11C4" w14:textId="77777777" w:rsidR="00E17CB6" w:rsidRDefault="006C04F7" w:rsidP="00270EF6">
            <w:pPr>
              <w:jc w:val="both"/>
            </w:pPr>
            <w:r w:rsidRPr="006C04F7">
              <w:rPr>
                <w:rFonts w:ascii="Open Sans Light" w:hAnsi="Open Sans Light" w:cs="Open Sans Light"/>
              </w:rPr>
              <w:t>2) la alfabetización funcional.</w:t>
            </w:r>
            <w:r>
              <w:t xml:space="preserve"> </w:t>
            </w:r>
          </w:p>
          <w:p w14:paraId="7E0ADD01" w14:textId="77777777" w:rsidR="00E17CB6" w:rsidRDefault="00E17CB6" w:rsidP="00270EF6">
            <w:pPr>
              <w:jc w:val="both"/>
            </w:pPr>
          </w:p>
          <w:p w14:paraId="408307E7" w14:textId="77777777" w:rsidR="00E17CB6" w:rsidRDefault="006C04F7" w:rsidP="00270EF6">
            <w:pPr>
              <w:jc w:val="both"/>
              <w:rPr>
                <w:rFonts w:ascii="Open Sans Light" w:hAnsi="Open Sans Light" w:cs="Open Sans Light"/>
              </w:rPr>
            </w:pPr>
            <w:r w:rsidRPr="006C04F7">
              <w:rPr>
                <w:rFonts w:ascii="Open Sans Light" w:hAnsi="Open Sans Light" w:cs="Open Sans Light"/>
              </w:rPr>
              <w:t xml:space="preserve">La alfabetización funcional se proponía que el alumno fuera capaz de leer y escribir un párrafo en su lengua vernácula y escribir una carta con todos los requisitos formales. Para lograrla, se necesitarían tres años de educación formal, incluye dos condiciones: </w:t>
            </w:r>
          </w:p>
          <w:p w14:paraId="74253B16" w14:textId="26B57E52" w:rsidR="00E17CB6" w:rsidRDefault="00E17CB6" w:rsidP="00270EF6">
            <w:pPr>
              <w:jc w:val="both"/>
              <w:rPr>
                <w:rFonts w:ascii="Open Sans Light" w:hAnsi="Open Sans Light" w:cs="Open Sans Light"/>
              </w:rPr>
            </w:pPr>
            <w:r>
              <w:rPr>
                <w:rFonts w:ascii="Open Sans Light" w:hAnsi="Open Sans Light" w:cs="Open Sans Light"/>
              </w:rPr>
              <w:t xml:space="preserve">1)La </w:t>
            </w:r>
            <w:r w:rsidR="006C04F7" w:rsidRPr="00E17CB6">
              <w:rPr>
                <w:rFonts w:ascii="Open Sans Light" w:hAnsi="Open Sans Light" w:cs="Open Sans Light"/>
              </w:rPr>
              <w:t>habilidad de la lectura y la escritura</w:t>
            </w:r>
            <w:r>
              <w:rPr>
                <w:rFonts w:ascii="Open Sans Light" w:hAnsi="Open Sans Light" w:cs="Open Sans Light"/>
              </w:rPr>
              <w:t>.</w:t>
            </w:r>
          </w:p>
          <w:p w14:paraId="284258FB" w14:textId="26BEE61C" w:rsidR="00C5771C" w:rsidRPr="00E17CB6" w:rsidRDefault="006C04F7" w:rsidP="00270EF6">
            <w:pPr>
              <w:jc w:val="both"/>
              <w:rPr>
                <w:rFonts w:ascii="Open Sans Light" w:hAnsi="Open Sans Light" w:cs="Open Sans Light"/>
              </w:rPr>
            </w:pPr>
            <w:r w:rsidRPr="00E17CB6">
              <w:rPr>
                <w:rFonts w:ascii="Open Sans Light" w:hAnsi="Open Sans Light" w:cs="Open Sans Light"/>
              </w:rPr>
              <w:t>2)</w:t>
            </w:r>
            <w:r w:rsidR="00E17CB6">
              <w:rPr>
                <w:rFonts w:ascii="Open Sans Light" w:hAnsi="Open Sans Light" w:cs="Open Sans Light"/>
              </w:rPr>
              <w:t>E</w:t>
            </w:r>
            <w:r w:rsidRPr="00E17CB6">
              <w:rPr>
                <w:rFonts w:ascii="Open Sans Light" w:hAnsi="Open Sans Light" w:cs="Open Sans Light"/>
              </w:rPr>
              <w:t>se dominio permita cumplir con las exigencias de la comunidad.</w:t>
            </w:r>
          </w:p>
        </w:tc>
      </w:tr>
      <w:tr w:rsidR="00270EF6" w:rsidRPr="00C5771C" w14:paraId="78558378" w14:textId="77777777" w:rsidTr="00270EF6">
        <w:tc>
          <w:tcPr>
            <w:tcW w:w="1813" w:type="dxa"/>
          </w:tcPr>
          <w:p w14:paraId="61EA3760" w14:textId="303D8B73" w:rsidR="00C5771C" w:rsidRPr="009B0C51" w:rsidRDefault="009B0C51" w:rsidP="00270EF6">
            <w:pPr>
              <w:jc w:val="center"/>
              <w:rPr>
                <w:rFonts w:ascii="Open Sans Light" w:hAnsi="Open Sans Light" w:cs="Open Sans Light"/>
                <w:b/>
                <w:bCs/>
              </w:rPr>
            </w:pPr>
            <w:r w:rsidRPr="009B0C51">
              <w:rPr>
                <w:rFonts w:ascii="Open Sans Light" w:hAnsi="Open Sans Light" w:cs="Open Sans Light"/>
                <w:b/>
                <w:bCs/>
              </w:rPr>
              <w:t>Ventajas.</w:t>
            </w:r>
          </w:p>
          <w:p w14:paraId="356495A9" w14:textId="5382F47D" w:rsidR="00C5771C" w:rsidRPr="009B0C51" w:rsidRDefault="00C5771C" w:rsidP="00270EF6">
            <w:pPr>
              <w:rPr>
                <w:rFonts w:ascii="Open Sans Light" w:hAnsi="Open Sans Light" w:cs="Open Sans Light"/>
                <w:b/>
                <w:bCs/>
              </w:rPr>
            </w:pPr>
          </w:p>
        </w:tc>
        <w:tc>
          <w:tcPr>
            <w:tcW w:w="3827" w:type="dxa"/>
          </w:tcPr>
          <w:p w14:paraId="13E47288" w14:textId="77777777" w:rsidR="00E17CB6" w:rsidRPr="00E17CB6" w:rsidRDefault="00E17CB6" w:rsidP="00270EF6">
            <w:pPr>
              <w:jc w:val="both"/>
              <w:rPr>
                <w:rFonts w:ascii="Open Sans Light" w:hAnsi="Open Sans Light" w:cs="Open Sans Light"/>
              </w:rPr>
            </w:pPr>
            <w:r w:rsidRPr="00E17CB6">
              <w:rPr>
                <w:rFonts w:ascii="Open Sans Light" w:hAnsi="Open Sans Light" w:cs="Open Sans Light"/>
              </w:rPr>
              <w:t>Los métodos para la enseñanza de la lectura y escritura deben caber en una concepción pedagógica comprehensiva, holística, con perspectivas sociales, culturales, políticas y filosóficas. Que investigue los hechos educativos en su propio campo, con el apoyo de otras ciencias a las cuales respeta e interroga, pero no se subordina.</w:t>
            </w:r>
          </w:p>
          <w:p w14:paraId="3E0A8301" w14:textId="77777777" w:rsidR="00E17CB6" w:rsidRPr="00E17CB6" w:rsidRDefault="00E17CB6" w:rsidP="00270EF6">
            <w:pPr>
              <w:jc w:val="both"/>
              <w:rPr>
                <w:rFonts w:ascii="Open Sans Light" w:hAnsi="Open Sans Light" w:cs="Open Sans Light"/>
              </w:rPr>
            </w:pPr>
          </w:p>
          <w:p w14:paraId="6ECE3CC6" w14:textId="34508EA9" w:rsidR="00C5771C" w:rsidRPr="00C5771C" w:rsidRDefault="00E17CB6" w:rsidP="00270EF6">
            <w:pPr>
              <w:jc w:val="both"/>
              <w:rPr>
                <w:rFonts w:ascii="Open Sans Light" w:hAnsi="Open Sans Light" w:cs="Open Sans Light"/>
              </w:rPr>
            </w:pPr>
            <w:r w:rsidRPr="00E17CB6">
              <w:rPr>
                <w:rFonts w:ascii="Open Sans Light" w:hAnsi="Open Sans Light" w:cs="Open Sans Light"/>
              </w:rPr>
              <w:t>Un buen método debe atender tanto a su validez externa, a su funcionalidad o al grado de satisfacción que produce en el alumno y el profesor como a la propia eficacia de la técnica, esto quiere decir que el trabajo no solo recae en el profesor.</w:t>
            </w:r>
          </w:p>
        </w:tc>
        <w:tc>
          <w:tcPr>
            <w:tcW w:w="4425" w:type="dxa"/>
          </w:tcPr>
          <w:p w14:paraId="78FE6399" w14:textId="27C1AD98" w:rsidR="00C5771C" w:rsidRPr="00C5771C" w:rsidRDefault="00E17CB6" w:rsidP="00270EF6">
            <w:pPr>
              <w:jc w:val="both"/>
              <w:rPr>
                <w:rFonts w:ascii="Open Sans Light" w:hAnsi="Open Sans Light" w:cs="Open Sans Light"/>
              </w:rPr>
            </w:pPr>
            <w:r w:rsidRPr="00E17CB6">
              <w:rPr>
                <w:rFonts w:ascii="Open Sans Light" w:hAnsi="Open Sans Light" w:cs="Open Sans Light"/>
              </w:rPr>
              <w:t>Es entre fines del S. XIX y principios del S.XX que los libros de lectura (y los métodos) adquieren la forma con la que se van a estabilizar hasta alrededor de la década de 1980.</w:t>
            </w:r>
          </w:p>
        </w:tc>
        <w:tc>
          <w:tcPr>
            <w:tcW w:w="3969" w:type="dxa"/>
          </w:tcPr>
          <w:p w14:paraId="523FE588" w14:textId="1BFC3C78" w:rsidR="00C5771C" w:rsidRPr="00C5771C" w:rsidRDefault="00E17CB6" w:rsidP="00270EF6">
            <w:pPr>
              <w:jc w:val="both"/>
              <w:rPr>
                <w:rFonts w:ascii="Open Sans Light" w:hAnsi="Open Sans Light" w:cs="Open Sans Light"/>
              </w:rPr>
            </w:pPr>
            <w:r w:rsidRPr="00E17CB6">
              <w:rPr>
                <w:rFonts w:ascii="Open Sans Light" w:hAnsi="Open Sans Light" w:cs="Open Sans Light"/>
              </w:rPr>
              <w:t xml:space="preserve">Corresponde reconocer la importancia de la alfabetización que también se adquiere fuera de la institución escolar como un hecho de la realidad sociocultural, sin que se debilite la defensa de la escuela y de la educación sistemática como una necesidad de la cultura organizada, que ha persistido a través de la historia con rasgos que le son </w:t>
            </w:r>
            <w:r w:rsidR="00C70CC9" w:rsidRPr="00E17CB6">
              <w:rPr>
                <w:rFonts w:ascii="Open Sans Light" w:hAnsi="Open Sans Light" w:cs="Open Sans Light"/>
              </w:rPr>
              <w:t>propios,</w:t>
            </w:r>
            <w:r w:rsidRPr="00E17CB6">
              <w:rPr>
                <w:rFonts w:ascii="Open Sans Light" w:hAnsi="Open Sans Light" w:cs="Open Sans Light"/>
              </w:rPr>
              <w:t xml:space="preserve"> aunque se adaptan a las variaciones culturales que ocurren en el espacio y en el tiempo.</w:t>
            </w:r>
          </w:p>
        </w:tc>
      </w:tr>
      <w:tr w:rsidR="00270EF6" w:rsidRPr="00C5771C" w14:paraId="3D967453" w14:textId="77777777" w:rsidTr="00270EF6">
        <w:tc>
          <w:tcPr>
            <w:tcW w:w="1813" w:type="dxa"/>
          </w:tcPr>
          <w:p w14:paraId="70CC716D" w14:textId="77777777" w:rsidR="00C5771C" w:rsidRPr="009B0C51" w:rsidRDefault="009B0C51" w:rsidP="00270EF6">
            <w:pPr>
              <w:jc w:val="center"/>
              <w:rPr>
                <w:rFonts w:ascii="Open Sans Light" w:hAnsi="Open Sans Light" w:cs="Open Sans Light"/>
                <w:b/>
                <w:bCs/>
              </w:rPr>
            </w:pPr>
            <w:r w:rsidRPr="009B0C51">
              <w:rPr>
                <w:rFonts w:ascii="Open Sans Light" w:hAnsi="Open Sans Light" w:cs="Open Sans Light"/>
                <w:b/>
                <w:bCs/>
              </w:rPr>
              <w:t>Desventajas.</w:t>
            </w:r>
          </w:p>
          <w:p w14:paraId="03A19679" w14:textId="219BCB21" w:rsidR="009B0C51" w:rsidRPr="009B0C51" w:rsidRDefault="009B0C51" w:rsidP="00270EF6">
            <w:pPr>
              <w:rPr>
                <w:rFonts w:ascii="Open Sans Light" w:hAnsi="Open Sans Light" w:cs="Open Sans Light"/>
                <w:b/>
                <w:bCs/>
              </w:rPr>
            </w:pPr>
          </w:p>
        </w:tc>
        <w:tc>
          <w:tcPr>
            <w:tcW w:w="3827" w:type="dxa"/>
          </w:tcPr>
          <w:p w14:paraId="69164771" w14:textId="0DC5144C" w:rsidR="00C5771C" w:rsidRPr="00C5771C" w:rsidRDefault="00E17CB6" w:rsidP="00270EF6">
            <w:pPr>
              <w:jc w:val="both"/>
              <w:rPr>
                <w:rFonts w:ascii="Open Sans Light" w:hAnsi="Open Sans Light" w:cs="Open Sans Light"/>
              </w:rPr>
            </w:pPr>
            <w:r w:rsidRPr="00E17CB6">
              <w:rPr>
                <w:rFonts w:ascii="Open Sans Light" w:hAnsi="Open Sans Light" w:cs="Open Sans Light"/>
              </w:rPr>
              <w:t>Unos aconsejan movilizar y activar los esquemas cognitivos y formales que después facilitan la elaboración del esquema complejo de la lectura. Otros consideran que la “competencia lingüística” con la cual el niño crea su habla también le permite comprender espontáneamente el lenguaje escrito. Por eso para ellos</w:t>
            </w:r>
            <w:r>
              <w:t xml:space="preserve"> </w:t>
            </w:r>
            <w:r w:rsidRPr="00E17CB6">
              <w:rPr>
                <w:rFonts w:ascii="Open Sans Light" w:hAnsi="Open Sans Light" w:cs="Open Sans Light"/>
              </w:rPr>
              <w:t>las experiencias anteriores del lenguaje hablado no tienen importancia. La escritura y la lectura no se enseñan, sino que el niño la construye.</w:t>
            </w:r>
          </w:p>
        </w:tc>
        <w:tc>
          <w:tcPr>
            <w:tcW w:w="4425" w:type="dxa"/>
          </w:tcPr>
          <w:p w14:paraId="1B3811F8" w14:textId="57D3BB5D" w:rsidR="00E17CB6" w:rsidRPr="00E17CB6" w:rsidRDefault="00E17CB6" w:rsidP="00270EF6">
            <w:pPr>
              <w:jc w:val="both"/>
              <w:rPr>
                <w:rFonts w:ascii="Open Sans Light" w:hAnsi="Open Sans Light" w:cs="Open Sans Light"/>
              </w:rPr>
            </w:pPr>
            <w:r w:rsidRPr="00E17CB6">
              <w:rPr>
                <w:rFonts w:ascii="Open Sans Light" w:hAnsi="Open Sans Light" w:cs="Open Sans Light"/>
              </w:rPr>
              <w:t>Durante muchos siglos pensamos que enseñanza y aprendizaje eran lo mismo: se enseña lo que se aprende y aprende lo que se enseña. Los niños debían aprender aquello que les enseñábamos y tal como se los enseñábamos. Si así no había</w:t>
            </w:r>
            <w:r>
              <w:t xml:space="preserve"> </w:t>
            </w:r>
            <w:r w:rsidRPr="00E17CB6">
              <w:rPr>
                <w:rFonts w:ascii="Open Sans Light" w:hAnsi="Open Sans Light" w:cs="Open Sans Light"/>
              </w:rPr>
              <w:t xml:space="preserve">sucedido, el problema se atribuía al método o a deficiencias del niño. </w:t>
            </w:r>
          </w:p>
          <w:p w14:paraId="16BFAFB1" w14:textId="51161941" w:rsidR="00C5771C" w:rsidRPr="00C5771C" w:rsidRDefault="00E17CB6" w:rsidP="00270EF6">
            <w:pPr>
              <w:jc w:val="both"/>
              <w:rPr>
                <w:rFonts w:ascii="Open Sans Light" w:hAnsi="Open Sans Light" w:cs="Open Sans Light"/>
              </w:rPr>
            </w:pPr>
            <w:r w:rsidRPr="00E17CB6">
              <w:rPr>
                <w:rFonts w:ascii="Open Sans Light" w:hAnsi="Open Sans Light" w:cs="Open Sans Light"/>
              </w:rPr>
              <w:t>No sospechábamos que podría existir alguna razón por la cual los pequeños no comprendiesen lo mismo que los adultos y que tales razones no tuviesen que ver con dificultades sino con lógicas diferentes. Por eso, la historia de la alfabetización fue por mucho tiempo una historia de métodos.</w:t>
            </w:r>
          </w:p>
        </w:tc>
        <w:tc>
          <w:tcPr>
            <w:tcW w:w="3969" w:type="dxa"/>
          </w:tcPr>
          <w:p w14:paraId="52C3D385" w14:textId="725225B7" w:rsidR="00C5771C" w:rsidRPr="00C5771C" w:rsidRDefault="00E17CB6" w:rsidP="00270EF6">
            <w:pPr>
              <w:jc w:val="both"/>
              <w:rPr>
                <w:rFonts w:ascii="Open Sans Light" w:hAnsi="Open Sans Light" w:cs="Open Sans Light"/>
              </w:rPr>
            </w:pPr>
            <w:r w:rsidRPr="00E17CB6">
              <w:rPr>
                <w:rFonts w:ascii="Open Sans Light" w:hAnsi="Open Sans Light" w:cs="Open Sans Light"/>
              </w:rPr>
              <w:t>Mientras tanto, la escuela sigue todavía sin resolver los problemas que siempre ha tenido con la alfabetización, y surgen nuevas investigaciones y reflexiones sobre esta última.</w:t>
            </w:r>
          </w:p>
        </w:tc>
      </w:tr>
    </w:tbl>
    <w:p w14:paraId="3E530F48" w14:textId="562D2BC0" w:rsidR="001D116B" w:rsidRDefault="001D116B"/>
    <w:p w14:paraId="1DF4397F" w14:textId="07081EC4" w:rsidR="00B91125" w:rsidRDefault="00B91125"/>
    <w:p w14:paraId="7951F70A" w14:textId="77777777" w:rsidR="00B91125" w:rsidRDefault="00B91125"/>
    <w:p w14:paraId="221B2B6C" w14:textId="77777777" w:rsidR="00B91125" w:rsidRDefault="00B91125"/>
    <w:p w14:paraId="2C2E734C" w14:textId="77777777" w:rsidR="00B91125" w:rsidRDefault="00B91125"/>
    <w:p w14:paraId="4F8E18AC" w14:textId="77777777" w:rsidR="00B91125" w:rsidRDefault="00B91125"/>
    <w:p w14:paraId="79586343" w14:textId="77777777" w:rsidR="00B91125" w:rsidRDefault="00B91125"/>
    <w:p w14:paraId="417EEE6B" w14:textId="77777777" w:rsidR="00B91125" w:rsidRDefault="00B91125"/>
    <w:p w14:paraId="5D90F3E2" w14:textId="747C99AC" w:rsidR="00B91125" w:rsidRPr="00C70CC9" w:rsidRDefault="00B91125">
      <w:pPr>
        <w:rPr>
          <w:rFonts w:ascii="Bahnschrift SemiBold SemiConden" w:hAnsi="Bahnschrift SemiBold SemiConden"/>
          <w:sz w:val="28"/>
          <w:szCs w:val="28"/>
        </w:rPr>
      </w:pPr>
      <w:r w:rsidRPr="00C70CC9">
        <w:rPr>
          <w:rFonts w:ascii="Bahnschrift SemiBold SemiConden" w:hAnsi="Bahnschrift SemiBold SemiConden"/>
          <w:sz w:val="28"/>
          <w:szCs w:val="28"/>
        </w:rPr>
        <w:t>Bibliografía</w:t>
      </w:r>
    </w:p>
    <w:p w14:paraId="00C83930" w14:textId="77777777" w:rsidR="00B91125" w:rsidRPr="00C70CC9" w:rsidRDefault="00B91125" w:rsidP="00C70CC9">
      <w:pPr>
        <w:pStyle w:val="Prrafodelista"/>
        <w:numPr>
          <w:ilvl w:val="0"/>
          <w:numId w:val="2"/>
        </w:numPr>
        <w:rPr>
          <w:rFonts w:ascii="Open Sans Light" w:hAnsi="Open Sans Light" w:cs="Open Sans Light"/>
          <w:sz w:val="24"/>
          <w:szCs w:val="24"/>
        </w:rPr>
      </w:pPr>
      <w:r w:rsidRPr="00C70CC9">
        <w:rPr>
          <w:rFonts w:ascii="Open Sans Light" w:hAnsi="Open Sans Light" w:cs="Open Sans Light"/>
          <w:sz w:val="24"/>
          <w:szCs w:val="24"/>
        </w:rPr>
        <w:t>Braslavsky, B. (2004) El método: ¿Panacea, negación o pedagogía? Revista Lectura y Vida. Buenos Aires.</w:t>
      </w:r>
    </w:p>
    <w:p w14:paraId="427028FC" w14:textId="49809B1F" w:rsidR="00B91125" w:rsidRPr="00C70CC9" w:rsidRDefault="00B91125" w:rsidP="00C70CC9">
      <w:pPr>
        <w:pStyle w:val="Prrafodelista"/>
        <w:numPr>
          <w:ilvl w:val="0"/>
          <w:numId w:val="2"/>
        </w:numPr>
        <w:rPr>
          <w:rFonts w:ascii="Open Sans Light" w:hAnsi="Open Sans Light" w:cs="Open Sans Light"/>
          <w:sz w:val="24"/>
          <w:szCs w:val="24"/>
        </w:rPr>
      </w:pPr>
      <w:r w:rsidRPr="00C70CC9">
        <w:rPr>
          <w:rFonts w:ascii="Open Sans Light" w:hAnsi="Open Sans Light" w:cs="Open Sans Light"/>
          <w:sz w:val="24"/>
          <w:szCs w:val="24"/>
        </w:rPr>
        <w:t>Castedo, Mirta (2015). Clase 1: Teorías de la alfabetización. Seminario Teorías de la alfabetización. Maestría en Escritura y Alfabetización. Facultad de Humanidades y Ciencias de la Educación de la Universidad Nacional de La Plata. Argentina.</w:t>
      </w:r>
    </w:p>
    <w:p w14:paraId="6E07FD4C" w14:textId="67786393" w:rsidR="00B91125" w:rsidRPr="00C70CC9" w:rsidRDefault="00B91125" w:rsidP="00C70CC9">
      <w:pPr>
        <w:pStyle w:val="Prrafodelista"/>
        <w:numPr>
          <w:ilvl w:val="0"/>
          <w:numId w:val="2"/>
        </w:numPr>
        <w:rPr>
          <w:rFonts w:ascii="Open Sans Light" w:hAnsi="Open Sans Light" w:cs="Open Sans Light"/>
          <w:sz w:val="24"/>
          <w:szCs w:val="24"/>
        </w:rPr>
      </w:pPr>
      <w:r w:rsidRPr="00C70CC9">
        <w:rPr>
          <w:rFonts w:ascii="Open Sans Light" w:hAnsi="Open Sans Light" w:cs="Open Sans Light"/>
          <w:sz w:val="24"/>
          <w:szCs w:val="24"/>
        </w:rPr>
        <w:t>Dávalos, A. (2019) La alfabetización inicial en las propuestas educativas de</w:t>
      </w:r>
      <w:r w:rsidR="00C70CC9" w:rsidRPr="00C70CC9">
        <w:rPr>
          <w:rFonts w:ascii="Open Sans Light" w:hAnsi="Open Sans Light" w:cs="Open Sans Light"/>
          <w:sz w:val="24"/>
          <w:szCs w:val="24"/>
        </w:rPr>
        <w:t xml:space="preserve"> </w:t>
      </w:r>
      <w:r w:rsidRPr="00C70CC9">
        <w:rPr>
          <w:rFonts w:ascii="Open Sans Light" w:hAnsi="Open Sans Light" w:cs="Open Sans Light"/>
          <w:sz w:val="24"/>
          <w:szCs w:val="24"/>
        </w:rPr>
        <w:t>México. Análisis, perspectivas y emergencia de nuevos conocimientos.</w:t>
      </w:r>
      <w:r w:rsidR="00C70CC9" w:rsidRPr="00C70CC9">
        <w:rPr>
          <w:rFonts w:ascii="Open Sans Light" w:hAnsi="Open Sans Light" w:cs="Open Sans Light"/>
          <w:sz w:val="24"/>
          <w:szCs w:val="24"/>
        </w:rPr>
        <w:t xml:space="preserve"> </w:t>
      </w:r>
      <w:r w:rsidRPr="00C70CC9">
        <w:rPr>
          <w:rFonts w:ascii="Open Sans Light" w:hAnsi="Open Sans Light" w:cs="Open Sans Light"/>
          <w:sz w:val="24"/>
          <w:szCs w:val="24"/>
        </w:rPr>
        <w:t>México: Trabajos Manuales Escolares- SEDEQ.</w:t>
      </w:r>
    </w:p>
    <w:p w14:paraId="284B534B" w14:textId="77777777" w:rsidR="00B91125" w:rsidRDefault="00B91125"/>
    <w:sectPr w:rsidR="00B91125" w:rsidSect="0093765E">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126F" w14:textId="77777777" w:rsidR="008257FA" w:rsidRDefault="008257FA" w:rsidP="008257FA">
      <w:pPr>
        <w:spacing w:after="0" w:line="240" w:lineRule="auto"/>
      </w:pPr>
      <w:r>
        <w:separator/>
      </w:r>
    </w:p>
  </w:endnote>
  <w:endnote w:type="continuationSeparator" w:id="0">
    <w:p w14:paraId="2CAEDD77" w14:textId="77777777" w:rsidR="008257FA" w:rsidRDefault="008257FA" w:rsidP="0082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Calibri"/>
    <w:panose1 w:val="020B0306030504020204"/>
    <w:charset w:val="00"/>
    <w:family w:val="swiss"/>
    <w:pitch w:val="variable"/>
    <w:sig w:usb0="E00002EF" w:usb1="4000205B" w:usb2="00000028" w:usb3="00000000" w:csb0="0000019F" w:csb1="00000000"/>
  </w:font>
  <w:font w:name="Kenao Sans Serif">
    <w:altName w:val="Noto Serif Yezidi"/>
    <w:charset w:val="00"/>
    <w:family w:val="roman"/>
    <w:notTrueType/>
    <w:pitch w:val="default"/>
  </w:font>
  <w:font w:name="Bahnschrift SemiBold SemiConden">
    <w:altName w:val="Calibri"/>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8538" w14:textId="77777777" w:rsidR="008257FA" w:rsidRDefault="008257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661B" w14:textId="77777777" w:rsidR="008257FA" w:rsidRDefault="008257F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2F65" w14:textId="77777777" w:rsidR="008257FA" w:rsidRDefault="008257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E578" w14:textId="77777777" w:rsidR="008257FA" w:rsidRDefault="008257FA" w:rsidP="008257FA">
      <w:pPr>
        <w:spacing w:after="0" w:line="240" w:lineRule="auto"/>
      </w:pPr>
      <w:r>
        <w:separator/>
      </w:r>
    </w:p>
  </w:footnote>
  <w:footnote w:type="continuationSeparator" w:id="0">
    <w:p w14:paraId="54B23EB3" w14:textId="77777777" w:rsidR="008257FA" w:rsidRDefault="008257FA" w:rsidP="00825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4D5C" w14:textId="77777777" w:rsidR="008257FA" w:rsidRDefault="008257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16E7" w14:textId="77777777" w:rsidR="008257FA" w:rsidRDefault="008257F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A0CF" w14:textId="77777777" w:rsidR="008257FA" w:rsidRDefault="008257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8B5"/>
    <w:multiLevelType w:val="hybridMultilevel"/>
    <w:tmpl w:val="FDFEB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5267EC"/>
    <w:multiLevelType w:val="hybridMultilevel"/>
    <w:tmpl w:val="4F26C1A8"/>
    <w:lvl w:ilvl="0" w:tplc="9E8605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58162118">
    <w:abstractNumId w:val="1"/>
  </w:num>
  <w:num w:numId="2" w16cid:durableId="75355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proofState w:spelling="clean"/>
  <w:revisionView w:inkAnnotations="0"/>
  <w:defaultTabStop w:val="708"/>
  <w:hyphenationZone w:val="425"/>
  <w:characterSpacingControl w:val="doNotCompress"/>
  <w:hdrShapeDefaults>
    <o:shapedefaults v:ext="edit" spidmax="2049">
      <o:colormenu v:ext="edit" fillcolor="#f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1C"/>
    <w:rsid w:val="001D116B"/>
    <w:rsid w:val="00270EF6"/>
    <w:rsid w:val="003B5506"/>
    <w:rsid w:val="006C04F7"/>
    <w:rsid w:val="008257FA"/>
    <w:rsid w:val="0093765E"/>
    <w:rsid w:val="009B0C51"/>
    <w:rsid w:val="00B91125"/>
    <w:rsid w:val="00BF1E2E"/>
    <w:rsid w:val="00C5771C"/>
    <w:rsid w:val="00C70CC9"/>
    <w:rsid w:val="00E17CB6"/>
    <w:rsid w:val="00E36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fcc"/>
    </o:shapedefaults>
    <o:shapelayout v:ext="edit">
      <o:idmap v:ext="edit" data="1"/>
    </o:shapelayout>
  </w:shapeDefaults>
  <w:decimalSymbol w:val="."/>
  <w:listSeparator w:val=","/>
  <w14:docId w14:val="6442A8F7"/>
  <w15:chartTrackingRefBased/>
  <w15:docId w15:val="{BFDD429A-6380-4456-ADD0-AB01DBEC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7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7CB6"/>
    <w:pPr>
      <w:ind w:left="720"/>
      <w:contextualSpacing/>
    </w:pPr>
  </w:style>
  <w:style w:type="paragraph" w:styleId="Encabezado">
    <w:name w:val="header"/>
    <w:basedOn w:val="Normal"/>
    <w:link w:val="EncabezadoCar"/>
    <w:uiPriority w:val="99"/>
    <w:unhideWhenUsed/>
    <w:rsid w:val="008257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7FA"/>
  </w:style>
  <w:style w:type="paragraph" w:styleId="Piedepgina">
    <w:name w:val="footer"/>
    <w:basedOn w:val="Normal"/>
    <w:link w:val="PiedepginaCar"/>
    <w:uiPriority w:val="99"/>
    <w:unhideWhenUsed/>
    <w:rsid w:val="008257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svg" /><Relationship Id="rId14" Type="http://schemas.openxmlformats.org/officeDocument/2006/relationships/header" Target="head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2755</Words>
  <Characters>15153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Lluvia Hefziba Perez Arreola</dc:creator>
  <cp:keywords/>
  <dc:description/>
  <cp:lastModifiedBy>Joana Rincon</cp:lastModifiedBy>
  <cp:revision>2</cp:revision>
  <dcterms:created xsi:type="dcterms:W3CDTF">2022-09-10T04:35:00Z</dcterms:created>
  <dcterms:modified xsi:type="dcterms:W3CDTF">2022-09-10T04:35:00Z</dcterms:modified>
</cp:coreProperties>
</file>