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295" w:rsidRDefault="009B4295"/>
    <w:p w:rsidR="0041496E" w:rsidRDefault="0041496E"/>
    <w:p w:rsidR="0041496E" w:rsidRDefault="0041496E" w:rsidP="0041496E">
      <w:pPr>
        <w:jc w:val="center"/>
        <w:rPr>
          <w:b/>
          <w:bCs/>
          <w:sz w:val="36"/>
          <w:szCs w:val="36"/>
        </w:rPr>
      </w:pPr>
      <w:r w:rsidRPr="001A3715">
        <w:rPr>
          <w:b/>
          <w:bCs/>
          <w:sz w:val="36"/>
          <w:szCs w:val="36"/>
        </w:rPr>
        <w:t>Escuela Normal de Educación Preescolar</w:t>
      </w:r>
    </w:p>
    <w:p w:rsidR="0041496E" w:rsidRPr="001A3715" w:rsidRDefault="0041496E" w:rsidP="0041496E">
      <w:pPr>
        <w:jc w:val="center"/>
        <w:rPr>
          <w:b/>
          <w:bCs/>
          <w:sz w:val="36"/>
          <w:szCs w:val="36"/>
        </w:rPr>
      </w:pPr>
      <w:r>
        <w:rPr>
          <w:b/>
          <w:bCs/>
          <w:noProof/>
          <w:sz w:val="36"/>
          <w:szCs w:val="36"/>
          <w:lang w:eastAsia="es-MX"/>
        </w:rPr>
        <w:drawing>
          <wp:inline distT="0" distB="0" distL="0" distR="0" wp14:anchorId="47BC7697">
            <wp:extent cx="805896" cy="699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251" cy="792395"/>
                    </a:xfrm>
                    <a:prstGeom prst="rect">
                      <a:avLst/>
                    </a:prstGeom>
                    <a:noFill/>
                  </pic:spPr>
                </pic:pic>
              </a:graphicData>
            </a:graphic>
          </wp:inline>
        </w:drawing>
      </w:r>
    </w:p>
    <w:p w:rsidR="0041496E" w:rsidRPr="001A3715" w:rsidRDefault="0041496E" w:rsidP="0041496E">
      <w:pPr>
        <w:jc w:val="center"/>
        <w:rPr>
          <w:sz w:val="36"/>
          <w:szCs w:val="36"/>
        </w:rPr>
      </w:pPr>
      <w:r w:rsidRPr="001A3715">
        <w:rPr>
          <w:sz w:val="36"/>
          <w:szCs w:val="36"/>
        </w:rPr>
        <w:t>Licenciatura en Educación</w:t>
      </w:r>
    </w:p>
    <w:p w:rsidR="0041496E" w:rsidRPr="001A3715" w:rsidRDefault="0041496E" w:rsidP="0041496E">
      <w:pPr>
        <w:jc w:val="center"/>
        <w:rPr>
          <w:sz w:val="36"/>
          <w:szCs w:val="36"/>
        </w:rPr>
      </w:pPr>
      <w:r w:rsidRPr="001A3715">
        <w:rPr>
          <w:sz w:val="36"/>
          <w:szCs w:val="36"/>
        </w:rPr>
        <w:t>Ciclo Escolar 2021-2022</w:t>
      </w:r>
    </w:p>
    <w:p w:rsidR="0041496E" w:rsidRPr="001A3715" w:rsidRDefault="0041496E" w:rsidP="0041496E">
      <w:pPr>
        <w:jc w:val="center"/>
        <w:rPr>
          <w:sz w:val="36"/>
          <w:szCs w:val="36"/>
        </w:rPr>
      </w:pPr>
      <w:r w:rsidRPr="001A3715">
        <w:rPr>
          <w:sz w:val="36"/>
          <w:szCs w:val="36"/>
        </w:rPr>
        <w:t xml:space="preserve">Curso: Lenguaje y alfabetización </w:t>
      </w:r>
    </w:p>
    <w:p w:rsidR="0041496E" w:rsidRPr="001A3715" w:rsidRDefault="0041496E" w:rsidP="0041496E">
      <w:pPr>
        <w:jc w:val="center"/>
        <w:rPr>
          <w:sz w:val="36"/>
          <w:szCs w:val="36"/>
        </w:rPr>
      </w:pPr>
      <w:r w:rsidRPr="001A3715">
        <w:rPr>
          <w:sz w:val="36"/>
          <w:szCs w:val="36"/>
        </w:rPr>
        <w:t>Maestro: Yara Alejandra Hernández Figueroa</w:t>
      </w:r>
    </w:p>
    <w:p w:rsidR="0041496E" w:rsidRDefault="0041496E" w:rsidP="0041496E">
      <w:pPr>
        <w:jc w:val="center"/>
        <w:rPr>
          <w:sz w:val="36"/>
          <w:szCs w:val="36"/>
        </w:rPr>
      </w:pPr>
      <w:r w:rsidRPr="001A3715">
        <w:rPr>
          <w:sz w:val="36"/>
          <w:szCs w:val="36"/>
        </w:rPr>
        <w:t>Alumna</w:t>
      </w:r>
      <w:r>
        <w:rPr>
          <w:sz w:val="36"/>
          <w:szCs w:val="36"/>
        </w:rPr>
        <w:t>s</w:t>
      </w:r>
      <w:r w:rsidRPr="001A3715">
        <w:rPr>
          <w:sz w:val="36"/>
          <w:szCs w:val="36"/>
        </w:rPr>
        <w:t>:</w:t>
      </w:r>
    </w:p>
    <w:p w:rsidR="0041496E" w:rsidRPr="00E55A9B" w:rsidRDefault="0041496E" w:rsidP="0041496E">
      <w:pPr>
        <w:jc w:val="center"/>
        <w:rPr>
          <w:rFonts w:cstheme="minorHAnsi"/>
          <w:color w:val="000000"/>
          <w:sz w:val="36"/>
          <w:szCs w:val="36"/>
        </w:rPr>
      </w:pPr>
      <w:r w:rsidRPr="00E55A9B">
        <w:rPr>
          <w:rFonts w:cstheme="minorHAnsi"/>
          <w:color w:val="000000"/>
          <w:sz w:val="36"/>
          <w:szCs w:val="36"/>
        </w:rPr>
        <w:t>BAENA GARCIA FRANCISCA WENDOLINE#2</w:t>
      </w:r>
    </w:p>
    <w:p w:rsidR="0041496E" w:rsidRPr="00E55A9B" w:rsidRDefault="0041496E" w:rsidP="0041496E">
      <w:pPr>
        <w:jc w:val="center"/>
        <w:rPr>
          <w:rFonts w:cstheme="minorHAnsi"/>
          <w:sz w:val="36"/>
          <w:szCs w:val="36"/>
        </w:rPr>
      </w:pPr>
      <w:r w:rsidRPr="00E55A9B">
        <w:rPr>
          <w:rFonts w:cstheme="minorHAnsi"/>
          <w:color w:val="000000"/>
          <w:sz w:val="36"/>
          <w:szCs w:val="36"/>
        </w:rPr>
        <w:t>HERNANDEZ GARCIA REGINA NEIDELYN#9</w:t>
      </w:r>
    </w:p>
    <w:p w:rsidR="0041496E" w:rsidRPr="001A3715" w:rsidRDefault="0041496E" w:rsidP="0041496E">
      <w:pPr>
        <w:jc w:val="center"/>
        <w:rPr>
          <w:sz w:val="36"/>
          <w:szCs w:val="36"/>
        </w:rPr>
      </w:pPr>
      <w:r>
        <w:rPr>
          <w:sz w:val="36"/>
          <w:szCs w:val="36"/>
        </w:rPr>
        <w:t>Tercer</w:t>
      </w:r>
      <w:r w:rsidRPr="001A3715">
        <w:rPr>
          <w:sz w:val="36"/>
          <w:szCs w:val="36"/>
        </w:rPr>
        <w:t xml:space="preserve"> Semestre, Sección “B”</w:t>
      </w:r>
    </w:p>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p w:rsidR="0041496E" w:rsidRDefault="0041496E"/>
    <w:tbl>
      <w:tblPr>
        <w:tblW w:w="12191" w:type="dxa"/>
        <w:tblInd w:w="-1428" w:type="dxa"/>
        <w:shd w:val="clear" w:color="auto" w:fill="FFFFFF"/>
        <w:tblCellMar>
          <w:left w:w="0" w:type="dxa"/>
          <w:right w:w="0" w:type="dxa"/>
        </w:tblCellMar>
        <w:tblLook w:val="04A0" w:firstRow="1" w:lastRow="0" w:firstColumn="1" w:lastColumn="0" w:noHBand="0" w:noVBand="1"/>
      </w:tblPr>
      <w:tblGrid>
        <w:gridCol w:w="2127"/>
        <w:gridCol w:w="3827"/>
        <w:gridCol w:w="2410"/>
        <w:gridCol w:w="3827"/>
      </w:tblGrid>
      <w:tr w:rsidR="0041496E" w:rsidTr="0041496E">
        <w:trPr>
          <w:trHeight w:val="340"/>
        </w:trPr>
        <w:tc>
          <w:tcPr>
            <w:tcW w:w="12191" w:type="dxa"/>
            <w:gridSpan w:val="4"/>
            <w:tcBorders>
              <w:top w:val="single" w:sz="8" w:space="0" w:color="ED7D31"/>
              <w:left w:val="single" w:sz="8" w:space="0" w:color="ED7D31"/>
              <w:bottom w:val="single" w:sz="8" w:space="0" w:color="ED7D31"/>
              <w:right w:val="single" w:sz="8" w:space="0" w:color="ED7D31"/>
            </w:tcBorders>
            <w:shd w:val="clear" w:color="auto" w:fill="F7CAAC" w:themeFill="accent2" w:themeFillTint="66"/>
            <w:tcMar>
              <w:top w:w="0" w:type="dxa"/>
              <w:left w:w="108" w:type="dxa"/>
              <w:bottom w:w="0" w:type="dxa"/>
              <w:right w:w="108" w:type="dxa"/>
            </w:tcMar>
            <w:hideMark/>
          </w:tcPr>
          <w:p w:rsidR="0041496E" w:rsidRDefault="0041496E">
            <w:pPr>
              <w:jc w:val="center"/>
            </w:pPr>
            <w:r>
              <w:rPr>
                <w:b/>
                <w:bCs/>
              </w:rPr>
              <w:t>CUADRO COMPARATIVO  DE LS TEORÌAS DE LA ALFABETIZACIÒN INICIAL</w:t>
            </w:r>
          </w:p>
        </w:tc>
      </w:tr>
      <w:tr w:rsidR="0041496E" w:rsidTr="0041496E">
        <w:trPr>
          <w:trHeight w:val="307"/>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Características Teoría</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rPr>
                <w:b/>
              </w:rPr>
            </w:pPr>
            <w:r>
              <w:rPr>
                <w:b/>
              </w:rPr>
              <w:t>1 Teoría</w:t>
            </w:r>
          </w:p>
          <w:p w:rsidR="0041496E" w:rsidRDefault="0041496E">
            <w:pPr>
              <w:jc w:val="center"/>
              <w:rPr>
                <w:b/>
              </w:rPr>
            </w:pPr>
            <w:proofErr w:type="spellStart"/>
            <w:r>
              <w:rPr>
                <w:b/>
              </w:rPr>
              <w:t>Braslavsky</w:t>
            </w:r>
            <w:proofErr w:type="spellEnd"/>
            <w:r>
              <w:rPr>
                <w:b/>
              </w:rPr>
              <w:t>, B. (2004)</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rPr>
                <w:b/>
              </w:rPr>
            </w:pPr>
            <w:r>
              <w:rPr>
                <w:b/>
              </w:rPr>
              <w:t>2 Teoría</w:t>
            </w:r>
          </w:p>
          <w:p w:rsidR="0041496E" w:rsidRDefault="0041496E">
            <w:pPr>
              <w:jc w:val="center"/>
              <w:rPr>
                <w:b/>
              </w:rPr>
            </w:pPr>
            <w:proofErr w:type="spellStart"/>
            <w:r>
              <w:rPr>
                <w:b/>
              </w:rPr>
              <w:t>Castedo</w:t>
            </w:r>
            <w:proofErr w:type="spellEnd"/>
            <w:r>
              <w:rPr>
                <w:b/>
              </w:rPr>
              <w:t>, Mirta (2015).</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rPr>
                <w:b/>
              </w:rPr>
            </w:pPr>
            <w:r>
              <w:rPr>
                <w:b/>
              </w:rPr>
              <w:t>3 Teoría</w:t>
            </w:r>
          </w:p>
          <w:p w:rsidR="0041496E" w:rsidRDefault="0041496E">
            <w:pPr>
              <w:jc w:val="center"/>
              <w:rPr>
                <w:b/>
              </w:rPr>
            </w:pPr>
            <w:r>
              <w:rPr>
                <w:b/>
              </w:rPr>
              <w:t>Dávalos, A. (2019)</w:t>
            </w:r>
          </w:p>
        </w:tc>
      </w:tr>
      <w:tr w:rsidR="0041496E" w:rsidTr="0041496E">
        <w:trPr>
          <w:trHeight w:val="969"/>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t>Propuesta y metodología</w:t>
            </w:r>
          </w:p>
          <w:p w:rsidR="0041496E" w:rsidRDefault="0041496E">
            <w:r>
              <w:rPr>
                <w:b/>
                <w:bCs/>
              </w:rPr>
              <w:t>del aprendizaje</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La metodología que se emplea es el aprendizaje </w:t>
            </w:r>
            <w:proofErr w:type="spellStart"/>
            <w:r>
              <w:t>autoprotagonizta</w:t>
            </w:r>
            <w:proofErr w:type="spellEnd"/>
            <w:r>
              <w:t xml:space="preserve">, donde todos tienen el derecho a la libre expresión, clasificando dicha metodología en dos grupos o métodos, el primer método es el sintético que se divide en alfabético, </w:t>
            </w:r>
            <w:proofErr w:type="spellStart"/>
            <w:r>
              <w:t>gramafabetico</w:t>
            </w:r>
            <w:proofErr w:type="spellEnd"/>
            <w:r>
              <w:t xml:space="preserve">, fonético silábico, el segundo método es el analítico, dividido en palabra, frase, oración y cuento.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Uno de los métodos es la conciencia fonológica (CF) consiste en la capacidad de ser consciente de las unidades en las que puede dividirse el habla desde palabras que componen las frases hasta las unidades más pequeñas de los fonemas y no se desarrolla al mismo tiempo que se aprende a producir y a percibir el aula.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Los métodos fónicos ponen énfasis en el sonido representado por cada letra, una variante de los métodos fonéticos son los métodos silábicos, en ellos se asume la dificultad de pronuncia las consonantes de manera aislada por lo que estas letras son presentadas a los niños asociadas por una vocal, en los métodos globales, se espera que los niños sean capaces de reconocer los enunciados que ya leyeron y escribieron, sin necesidad de un mayor análisis.</w:t>
            </w:r>
          </w:p>
        </w:tc>
      </w:tr>
      <w:tr w:rsidR="0041496E" w:rsidTr="0041496E">
        <w:trPr>
          <w:trHeight w:val="766"/>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Corriente teórica a la que se asocia</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rPr>
              <w:t> Guillaume-</w:t>
            </w:r>
            <w:r>
              <w:t xml:space="preserve"> Elaboro la teoría del psicosis tema más conocido como guilla mismo y considerada equivalente a la disciplina de la psicolingüística en sus inicios, también se conoce como psicotécnica y lingüística francesa. </w:t>
            </w:r>
          </w:p>
          <w:p w:rsidR="0041496E" w:rsidRDefault="0041496E">
            <w:r>
              <w:rPr>
                <w:b/>
              </w:rPr>
              <w:t>Gray-</w:t>
            </w:r>
            <w:r>
              <w:t xml:space="preserve"> Propone que al incrementar la tolerancia de os individuos ante los estímulos que producen la emoción de ansiedad y de esta forma, influenciar al individuo a un nivel conductual. </w:t>
            </w:r>
          </w:p>
          <w:p w:rsidR="0041496E" w:rsidRDefault="0041496E">
            <w:r>
              <w:t xml:space="preserve">Comenio- Plantea un método practico de aprender haciendo en el que los </w:t>
            </w:r>
            <w:r>
              <w:lastRenderedPageBreak/>
              <w:t xml:space="preserve">conocimientos se infiltran e infunden en los climas. </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rPr>
                <w:b/>
              </w:rPr>
            </w:pPr>
            <w:r>
              <w:rPr>
                <w:b/>
              </w:rPr>
              <w:lastRenderedPageBreak/>
              <w:t> Emilia Ferreiro y Ana Teberosky</w:t>
            </w:r>
            <w:r w:rsidR="004F1966">
              <w:rPr>
                <w:b/>
              </w:rPr>
              <w:t xml:space="preserve">-   </w:t>
            </w:r>
            <w:r w:rsidR="004F1966" w:rsidRPr="004F1966">
              <w:rPr>
                <w:b/>
              </w:rPr>
              <w:t xml:space="preserve"> psicogénesis </w:t>
            </w:r>
            <w:r w:rsidR="004F1966">
              <w:rPr>
                <w:b/>
              </w:rPr>
              <w:t xml:space="preserve"> </w:t>
            </w:r>
          </w:p>
          <w:p w:rsidR="0041496E" w:rsidRDefault="004F1966">
            <w:r w:rsidRPr="004F1966">
              <w:t>Nos indican que el niño posee ideas o “hipótesis”, que ponen continuamente a prueba frente a la realidad, esperando ser corroboradas para llegar al conocimiento objetivo.</w:t>
            </w:r>
          </w:p>
          <w:p w:rsidR="004F1966" w:rsidRDefault="004F1966" w:rsidP="004F1966">
            <w:pPr>
              <w:jc w:val="center"/>
              <w:rPr>
                <w:b/>
              </w:rPr>
            </w:pPr>
            <w:r w:rsidRPr="004F1966">
              <w:rPr>
                <w:b/>
              </w:rPr>
              <w:t>Piaget</w:t>
            </w:r>
          </w:p>
          <w:p w:rsidR="004F1966" w:rsidRPr="004F1966" w:rsidRDefault="004F1966" w:rsidP="004F1966">
            <w:pPr>
              <w:jc w:val="center"/>
            </w:pPr>
            <w:r w:rsidRPr="004F1966">
              <w:lastRenderedPageBreak/>
              <w:t>Se denomina psicogénesis al estudio del desarrollo de las funciones mentales en tanto que dicho desarrollo puede aportar una explicación, o al menos una información complementaria, sobre los mecanismos de aquéllas en su estado acabado</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F1966">
            <w:pPr>
              <w:jc w:val="center"/>
            </w:pPr>
            <w:r>
              <w:rPr>
                <w:b/>
              </w:rPr>
              <w:lastRenderedPageBreak/>
              <w:t>Piaget, teoría cognitivista</w:t>
            </w:r>
            <w:r w:rsidR="0041496E">
              <w:t>.</w:t>
            </w:r>
          </w:p>
          <w:p w:rsidR="004F1966" w:rsidRDefault="004F1966">
            <w:pPr>
              <w:jc w:val="center"/>
            </w:pPr>
            <w:r>
              <w:t xml:space="preserve">Determina </w:t>
            </w:r>
            <w:r w:rsidRPr="004F1966">
              <w:t xml:space="preserve"> que los diferentes procesos del aprendizaje pueden ser explicados, por medio del análisis de los procesos mentales, los intervinientes del medio ambiente y las posturas actitudinales de docentes y estudiantes.</w:t>
            </w:r>
          </w:p>
        </w:tc>
      </w:tr>
      <w:tr w:rsidR="0041496E" w:rsidTr="0041496E">
        <w:trPr>
          <w:trHeight w:val="615"/>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t>Época</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La evaluación de los métodos responde al propósito de imponer la comprensión, se remonta al siglo </w:t>
            </w:r>
            <w:proofErr w:type="spellStart"/>
            <w:r>
              <w:t>xvll</w:t>
            </w:r>
            <w:proofErr w:type="spellEnd"/>
            <w:r>
              <w:t xml:space="preserve">. </w:t>
            </w:r>
          </w:p>
          <w:p w:rsidR="0041496E" w:rsidRDefault="0041496E">
            <w:r>
              <w:t xml:space="preserve">Entre los métodos globales o naturales que surgieron durante las décadas del 30 y el 40 el más perdurable ha sido el método del “texto libre” de freenet.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 xml:space="preserve">Desde finales de 1970 se desarrollaron estudios sobre conciencia fonológica, hasta la actualidad.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Los métodos globales aparecen en los años treinta del siglo pasado y se convierten en una tendencia en los años cincuenta y sesenta.</w:t>
            </w:r>
          </w:p>
          <w:p w:rsidR="0041496E" w:rsidRDefault="0041496E">
            <w:pPr>
              <w:jc w:val="center"/>
            </w:pPr>
            <w:r>
              <w:t>Mientras que el método fonético comenzó en 1985.</w:t>
            </w:r>
          </w:p>
        </w:tc>
      </w:tr>
      <w:tr w:rsidR="0041496E" w:rsidTr="0041496E">
        <w:trPr>
          <w:trHeight w:val="485"/>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Concepción sobre el sujeto</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rsidR="0041496E" w:rsidRDefault="0041496E">
            <w:pPr>
              <w:jc w:val="center"/>
            </w:pPr>
          </w:p>
          <w:p w:rsidR="0041496E" w:rsidRDefault="0041496E">
            <w:pPr>
              <w:jc w:val="center"/>
            </w:pPr>
            <w:r>
              <w:t xml:space="preserve">Ante la necesidad de lograr una lectura comprensiva recuren a las unidades significativas de la lengua. </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t xml:space="preserve"> Se consideraba que lo principal era aprender a leer para de ahí partir con la escritura la no era por entonces preocupación de la teoría y que la conciencia fonológica, era la identificación de patrones gráficos, fluidez lectora y reconocimiento de vocabulario escrito. </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pPr>
            <w:r>
              <w:t>Los métodos de lectoescritura, principalmente, los fonéticos tienen un gran arraigo entre los maestros y forma parte de la cultura magisterial.</w:t>
            </w:r>
          </w:p>
          <w:p w:rsidR="0041496E" w:rsidRDefault="0041496E">
            <w:pPr>
              <w:jc w:val="center"/>
            </w:pPr>
            <w:r>
              <w:t>Tanto han sido asumidos por la comunidad escolar que su implementación en las aulas suele ser una demanda de los padres de familia.</w:t>
            </w:r>
          </w:p>
        </w:tc>
      </w:tr>
      <w:tr w:rsidR="0041496E" w:rsidTr="0041496E">
        <w:trPr>
          <w:trHeight w:val="905"/>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t>Concepción sobre el</w:t>
            </w:r>
          </w:p>
          <w:p w:rsidR="0041496E" w:rsidRDefault="0041496E">
            <w:r>
              <w:rPr>
                <w:b/>
                <w:bCs/>
              </w:rPr>
              <w:t>lenguaje</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avanzaban cambios históricos orientados por nuevos prototipos sociales que generaban la necesidad de leer y escribir cuando la mayoría de la población era todavía analfabeta, </w:t>
            </w:r>
          </w:p>
          <w:p w:rsidR="0041496E" w:rsidRDefault="0041496E">
            <w:r>
              <w:t xml:space="preserve">La educación popular se iba configurando como un derecho junto al </w:t>
            </w:r>
            <w:r>
              <w:lastRenderedPageBreak/>
              <w:t xml:space="preserve">derecho de la libre expresión, de ideas, pero todavía se enseñaba a leer como lo hacían los antiguos.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lastRenderedPageBreak/>
              <w:t> la escritura no era por entonces preocupación de la teoría.</w:t>
            </w:r>
          </w:p>
          <w:p w:rsidR="0041496E" w:rsidRDefault="0041496E">
            <w:r>
              <w:t xml:space="preserve"> Algunos investigadores de la CF sostienen que adquirir esta capacidad es prerrequisito para la </w:t>
            </w:r>
            <w:r>
              <w:lastRenderedPageBreak/>
              <w:t xml:space="preserve">adquisición de la lectura, otros consideran que las relaciones son más bien de reciprocidad.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tcPr>
          <w:p w:rsidR="0041496E" w:rsidRDefault="0041496E">
            <w:pPr>
              <w:jc w:val="center"/>
            </w:pPr>
          </w:p>
          <w:p w:rsidR="0041496E" w:rsidRDefault="0041496E">
            <w:pPr>
              <w:jc w:val="center"/>
            </w:pPr>
            <w:r>
              <w:t xml:space="preserve">El aprendizaje de la lengua escrita en </w:t>
            </w:r>
          </w:p>
          <w:p w:rsidR="0041496E" w:rsidRDefault="0041496E">
            <w:pPr>
              <w:jc w:val="center"/>
            </w:pPr>
            <w:r>
              <w:t xml:space="preserve"> contextos escolares requiere de situaciones didácticas en las que se reconozca la curiosidad y las posibilidades intelectuales de los niños, </w:t>
            </w:r>
            <w:r>
              <w:lastRenderedPageBreak/>
              <w:t>así como su necesidad de participar en las prácticas sociales de lectura y escritura de su entorno.</w:t>
            </w:r>
          </w:p>
        </w:tc>
      </w:tr>
      <w:tr w:rsidR="0041496E" w:rsidTr="0041496E">
        <w:trPr>
          <w:trHeight w:val="465"/>
        </w:trPr>
        <w:tc>
          <w:tcPr>
            <w:tcW w:w="2127" w:type="dxa"/>
            <w:tcBorders>
              <w:top w:val="nil"/>
              <w:left w:val="single" w:sz="8" w:space="0" w:color="F4B083"/>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rPr>
                <w:b/>
                <w:bCs/>
              </w:rPr>
              <w:lastRenderedPageBreak/>
              <w:t>Ventajas</w:t>
            </w:r>
          </w:p>
          <w:p w:rsidR="0041496E" w:rsidRDefault="0041496E">
            <w:r>
              <w:rPr>
                <w:b/>
                <w:bCs/>
              </w:rPr>
              <w:t>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tcPr>
          <w:p w:rsidR="0041496E" w:rsidRDefault="0041496E"/>
          <w:p w:rsidR="0041496E" w:rsidRDefault="0041496E">
            <w:r>
              <w:t xml:space="preserve">Las ventajas que se reconocieron de estos métodos fue que se dio lugar al deletreo, decodificación de cada letra con sonido, producción más rápida de palabras. </w:t>
            </w:r>
          </w:p>
        </w:tc>
        <w:tc>
          <w:tcPr>
            <w:tcW w:w="2410"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r>
              <w:t xml:space="preserve"> Se descubrieron varias ventajas como que los niños nombran las letras, las denominan por el fonema y dicen las silabas a medida que van escribiendo y solicitan información en otras escrituras para saber que letras escribir y usan la relectura para controlar lo escrito. </w:t>
            </w:r>
          </w:p>
        </w:tc>
        <w:tc>
          <w:tcPr>
            <w:tcW w:w="3827"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hideMark/>
          </w:tcPr>
          <w:p w:rsidR="0041496E" w:rsidRDefault="0041496E">
            <w:pPr>
              <w:jc w:val="center"/>
            </w:pPr>
            <w:r>
              <w:t>Muchos de sus postulados fueron incorporados en las propuestas educativas que adaptaron un enfoque comunicativo y funcional especialmente en los programas y materiales educativos de la SEP de México.</w:t>
            </w:r>
          </w:p>
          <w:p w:rsidR="0041496E" w:rsidRDefault="0041496E">
            <w:pPr>
              <w:jc w:val="center"/>
            </w:pPr>
            <w:r>
              <w:t>Como resultado de estas investigaciones se ha llegado a describir una serie de etapas en el desarrollo de los niños en el proceso de adquisición del sistema de escritura, En un principio distingue lo escrito de otras representaciones</w:t>
            </w:r>
          </w:p>
          <w:p w:rsidR="0041496E" w:rsidRDefault="0041496E">
            <w:pPr>
              <w:jc w:val="center"/>
            </w:pPr>
            <w:r>
              <w:t>icónicas, y reconocen la</w:t>
            </w:r>
          </w:p>
          <w:p w:rsidR="0041496E" w:rsidRDefault="0041496E">
            <w:pPr>
              <w:jc w:val="center"/>
            </w:pPr>
            <w:r>
              <w:t>linealidad y direccionalidad de la escritura, más adelante establecen criterios no fonológicos.</w:t>
            </w:r>
          </w:p>
        </w:tc>
      </w:tr>
      <w:tr w:rsidR="0041496E" w:rsidTr="0041496E">
        <w:trPr>
          <w:trHeight w:val="289"/>
        </w:trPr>
        <w:tc>
          <w:tcPr>
            <w:tcW w:w="2127"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rPr>
                <w:b/>
                <w:bCs/>
              </w:rPr>
              <w:t>Desventajas</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t xml:space="preserve"> Algunas desventajas que se presentaron fue la dificultad para pronunciar las consonantes, aisladas para unirlas con las vocales, encontrar la correspondencia entre cada letra del alfabeto escrito y los fonemas del lenguaje hablado. </w:t>
            </w:r>
          </w:p>
        </w:tc>
        <w:tc>
          <w:tcPr>
            <w:tcW w:w="241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r>
              <w:t xml:space="preserve"> Atribuir esta dificultad al desconocimiento de los docentes sobre las </w:t>
            </w:r>
            <w:r w:rsidR="004F1966">
              <w:t>prácticas</w:t>
            </w:r>
            <w:r>
              <w:t xml:space="preserve"> se deducen de las teorías, los docentes tendrían que aplicar propuestas sin con</w:t>
            </w:r>
            <w:r w:rsidR="004F1966">
              <w:t xml:space="preserve">siderar condicionantes externos, tendría que aplicar propuestas sin considerar condicionantes externos. </w:t>
            </w:r>
          </w:p>
          <w:p w:rsidR="0041496E" w:rsidRDefault="004F1966">
            <w:r>
              <w:t>Tendrían</w:t>
            </w:r>
            <w:r w:rsidR="0041496E">
              <w:t xml:space="preserve"> que aplicar propuestas sin considerar </w:t>
            </w:r>
            <w:r>
              <w:lastRenderedPageBreak/>
              <w:t>condicionantes externos.</w:t>
            </w:r>
          </w:p>
        </w:tc>
        <w:tc>
          <w:tcPr>
            <w:tcW w:w="3827"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rsidR="0041496E" w:rsidRDefault="0041496E">
            <w:pPr>
              <w:jc w:val="center"/>
            </w:pPr>
            <w:r>
              <w:lastRenderedPageBreak/>
              <w:t>Los métodos fonéticos son rutinarios, aburridos y carentes de sentido para los niños.</w:t>
            </w:r>
          </w:p>
          <w:p w:rsidR="0041496E" w:rsidRDefault="0041496E">
            <w:pPr>
              <w:jc w:val="center"/>
            </w:pPr>
            <w:r>
              <w:t>Para otros, los métodos globales apuestan a la “adivinación” por parte de los niños.</w:t>
            </w:r>
          </w:p>
          <w:p w:rsidR="0041496E" w:rsidRDefault="0041496E">
            <w:pPr>
              <w:jc w:val="center"/>
            </w:pPr>
            <w:r>
              <w:t>En la mayoría de los métodos se reduce el conocimiento de la lengua escrita al conocimiento de las letras y su valor sonoro.</w:t>
            </w:r>
          </w:p>
        </w:tc>
      </w:tr>
    </w:tbl>
    <w:p w:rsidR="0041496E" w:rsidRDefault="0041496E" w:rsidP="0041496E"/>
    <w:p w:rsidR="0041496E" w:rsidRDefault="0041496E"/>
    <w:p w:rsidR="0041496E" w:rsidRDefault="0041496E"/>
    <w:p w:rsidR="0041496E" w:rsidRDefault="0041496E"/>
    <w:sectPr w:rsidR="0041496E" w:rsidSect="002C5824">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6E"/>
    <w:rsid w:val="002C5824"/>
    <w:rsid w:val="0033011F"/>
    <w:rsid w:val="0041496E"/>
    <w:rsid w:val="004F1966"/>
    <w:rsid w:val="009B4295"/>
    <w:rsid w:val="00CE43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C1D6-C54E-4008-A3A4-93B2438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6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baena666666@gmail.com</cp:lastModifiedBy>
  <cp:revision>2</cp:revision>
  <dcterms:created xsi:type="dcterms:W3CDTF">2022-09-11T00:29:00Z</dcterms:created>
  <dcterms:modified xsi:type="dcterms:W3CDTF">2022-09-11T00:29:00Z</dcterms:modified>
</cp:coreProperties>
</file>