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Escuela Normal de Educación Preescolar del Estado de Coahuila.</w:t>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4778057</wp:posOffset>
            </wp:positionH>
            <wp:positionV relativeFrom="paragraph">
              <wp:posOffset>20992</wp:posOffset>
            </wp:positionV>
            <wp:extent cx="1445895" cy="107569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5895" cy="1075690"/>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Licenciatura En Educación Preescolar.</w:t>
      </w:r>
    </w:p>
    <w:p w:rsidR="00000000" w:rsidDel="00000000" w:rsidP="00000000" w:rsidRDefault="00000000" w:rsidRPr="00000000" w14:paraId="00000008">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2°C</w:t>
      </w:r>
    </w:p>
    <w:p w:rsidR="00000000" w:rsidDel="00000000" w:rsidP="00000000" w:rsidRDefault="00000000" w:rsidRPr="00000000" w14:paraId="00000009">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Lenguaje y Alfabetización. </w:t>
      </w:r>
    </w:p>
    <w:p w:rsidR="00000000" w:rsidDel="00000000" w:rsidP="00000000" w:rsidRDefault="00000000" w:rsidRPr="00000000" w14:paraId="0000000A">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Cuadro Comparativo:  Teorías de Alfabetización inicial.</w:t>
      </w:r>
    </w:p>
    <w:p w:rsidR="00000000" w:rsidDel="00000000" w:rsidP="00000000" w:rsidRDefault="00000000" w:rsidRPr="00000000" w14:paraId="0000000C">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Titular: Yara Alejandra Hernández Figueroa.</w:t>
      </w:r>
    </w:p>
    <w:p w:rsidR="00000000" w:rsidDel="00000000" w:rsidP="00000000" w:rsidRDefault="00000000" w:rsidRPr="00000000" w14:paraId="0000000D">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Alumnas:</w:t>
      </w:r>
    </w:p>
    <w:p w:rsidR="00000000" w:rsidDel="00000000" w:rsidP="00000000" w:rsidRDefault="00000000" w:rsidRPr="00000000" w14:paraId="0000000E">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 2 Fátima Lizbeth Anguiano Calderón.</w:t>
      </w:r>
    </w:p>
    <w:p w:rsidR="00000000" w:rsidDel="00000000" w:rsidP="00000000" w:rsidRDefault="00000000" w:rsidRPr="00000000" w14:paraId="0000000F">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NO.3 Perla Abigail Cepeda García</w:t>
      </w:r>
    </w:p>
    <w:p w:rsidR="00000000" w:rsidDel="00000000" w:rsidP="00000000" w:rsidRDefault="00000000" w:rsidRPr="00000000" w14:paraId="00000010">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NO.11 Devani Monserrath González Palomo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7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7"/>
        <w:gridCol w:w="4437"/>
        <w:gridCol w:w="4440"/>
        <w:gridCol w:w="4205"/>
        <w:gridCol w:w="236"/>
        <w:tblGridChange w:id="0">
          <w:tblGrid>
            <w:gridCol w:w="4437"/>
            <w:gridCol w:w="4437"/>
            <w:gridCol w:w="4440"/>
            <w:gridCol w:w="4205"/>
            <w:gridCol w:w="236"/>
          </w:tblGrid>
        </w:tblGridChange>
      </w:tblGrid>
      <w:tr>
        <w:trPr>
          <w:cantSplit w:val="0"/>
          <w:trHeight w:val="370" w:hRule="atLeast"/>
          <w:tblHeader w:val="0"/>
        </w:trPr>
        <w:tc>
          <w:tcPr>
            <w:gridSpan w:val="5"/>
            <w:shd w:fill="deebf6" w:val="clear"/>
          </w:tcPr>
          <w:p w:rsidR="00000000" w:rsidDel="00000000" w:rsidP="00000000" w:rsidRDefault="00000000" w:rsidRPr="00000000" w14:paraId="00000012">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Las Teorías  de alfabetización inicial.</w:t>
            </w:r>
          </w:p>
        </w:tc>
      </w:tr>
      <w:tr>
        <w:trPr>
          <w:cantSplit w:val="0"/>
          <w:trHeight w:val="2878" w:hRule="atLeast"/>
          <w:tblHeader w:val="0"/>
        </w:trPr>
        <w:tc>
          <w:tcPr>
            <w:shd w:fill="fbe5d5" w:val="clear"/>
            <w:vAlign w:val="center"/>
          </w:tcPr>
          <w:p w:rsidR="00000000" w:rsidDel="00000000" w:rsidP="00000000" w:rsidRDefault="00000000" w:rsidRPr="00000000" w14:paraId="00000017">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Características de la teoría</w:t>
            </w:r>
          </w:p>
        </w:tc>
        <w:tc>
          <w:tcPr>
            <w:shd w:fill="ededed" w:val="clear"/>
            <w:vAlign w:val="center"/>
          </w:tcPr>
          <w:p w:rsidR="00000000" w:rsidDel="00000000" w:rsidP="00000000" w:rsidRDefault="00000000" w:rsidRPr="00000000" w14:paraId="00000018">
            <w:pPr>
              <w:shd w:fill="ededed" w:val="clear"/>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El método: ¿Panacea, negación o pedagogía? Revista</w:t>
            </w:r>
          </w:p>
          <w:p w:rsidR="00000000" w:rsidDel="00000000" w:rsidP="00000000" w:rsidRDefault="00000000" w:rsidRPr="00000000" w14:paraId="00000019">
            <w:pPr>
              <w:shd w:fill="ededed" w:val="clear"/>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Lectura y Vida. Buenos Aires.</w:t>
            </w:r>
          </w:p>
          <w:p w:rsidR="00000000" w:rsidDel="00000000" w:rsidP="00000000" w:rsidRDefault="00000000" w:rsidRPr="00000000" w14:paraId="0000001A">
            <w:pPr>
              <w:jc w:val="center"/>
              <w:rPr>
                <w:rFonts w:ascii="Century Gothic" w:cs="Century Gothic" w:eastAsia="Century Gothic" w:hAnsi="Century Gothic"/>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1B">
            <w:pPr>
              <w:shd w:fill="fff2cc" w:val="clear"/>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Teorías de la alfabetización. Seminario</w:t>
            </w:r>
          </w:p>
          <w:p w:rsidR="00000000" w:rsidDel="00000000" w:rsidP="00000000" w:rsidRDefault="00000000" w:rsidRPr="00000000" w14:paraId="0000001C">
            <w:pPr>
              <w:shd w:fill="fff2cc" w:val="clear"/>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Teorías de la alfabetización. Maestría en Escritura y Alfabetización.</w:t>
            </w:r>
          </w:p>
          <w:p w:rsidR="00000000" w:rsidDel="00000000" w:rsidP="00000000" w:rsidRDefault="00000000" w:rsidRPr="00000000" w14:paraId="0000001D">
            <w:pPr>
              <w:shd w:fill="fff2cc" w:val="clear"/>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Facultad de Humanidades y Ciencias de la Educación de la Universidad</w:t>
            </w:r>
          </w:p>
          <w:p w:rsidR="00000000" w:rsidDel="00000000" w:rsidP="00000000" w:rsidRDefault="00000000" w:rsidRPr="00000000" w14:paraId="0000001E">
            <w:pPr>
              <w:shd w:fill="fff2cc" w:val="clear"/>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Nacional de La Plata. Argentina.</w:t>
            </w:r>
          </w:p>
          <w:p w:rsidR="00000000" w:rsidDel="00000000" w:rsidP="00000000" w:rsidRDefault="00000000" w:rsidRPr="00000000" w14:paraId="0000001F">
            <w:pPr>
              <w:jc w:val="center"/>
              <w:rPr>
                <w:rFonts w:ascii="Century Gothic" w:cs="Century Gothic" w:eastAsia="Century Gothic" w:hAnsi="Century Gothic"/>
                <w:sz w:val="20"/>
                <w:szCs w:val="20"/>
              </w:rPr>
            </w:pPr>
            <w:r w:rsidDel="00000000" w:rsidR="00000000" w:rsidRPr="00000000">
              <w:rPr>
                <w:rtl w:val="0"/>
              </w:rPr>
            </w:r>
          </w:p>
        </w:tc>
        <w:tc>
          <w:tcPr>
            <w:gridSpan w:val="2"/>
            <w:shd w:fill="e2efd9" w:val="clear"/>
            <w:vAlign w:val="center"/>
          </w:tcPr>
          <w:p w:rsidR="00000000" w:rsidDel="00000000" w:rsidP="00000000" w:rsidRDefault="00000000" w:rsidRPr="00000000" w14:paraId="00000020">
            <w:pPr>
              <w:shd w:fill="e2efd9" w:val="clear"/>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La alfabetización inicial en las propuestas educativas de</w:t>
            </w:r>
          </w:p>
          <w:p w:rsidR="00000000" w:rsidDel="00000000" w:rsidP="00000000" w:rsidRDefault="00000000" w:rsidRPr="00000000" w14:paraId="00000021">
            <w:pPr>
              <w:shd w:fill="e2efd9" w:val="clear"/>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México. Análisis, perspectivas y emergencia de nuevos conocimientos.</w:t>
            </w:r>
          </w:p>
          <w:p w:rsidR="00000000" w:rsidDel="00000000" w:rsidP="00000000" w:rsidRDefault="00000000" w:rsidRPr="00000000" w14:paraId="00000022">
            <w:pPr>
              <w:shd w:fill="e2efd9" w:val="clear"/>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México: Trabajos Manuales Escolares- SEDEQ</w:t>
            </w:r>
          </w:p>
          <w:p w:rsidR="00000000" w:rsidDel="00000000" w:rsidP="00000000" w:rsidRDefault="00000000" w:rsidRPr="00000000" w14:paraId="00000023">
            <w:pPr>
              <w:jc w:val="center"/>
              <w:rPr>
                <w:rFonts w:ascii="Century Gothic" w:cs="Century Gothic" w:eastAsia="Century Gothic" w:hAnsi="Century Gothic"/>
                <w:sz w:val="20"/>
                <w:szCs w:val="20"/>
              </w:rPr>
            </w:pPr>
            <w:r w:rsidDel="00000000" w:rsidR="00000000" w:rsidRPr="00000000">
              <w:rPr>
                <w:rtl w:val="0"/>
              </w:rPr>
            </w:r>
          </w:p>
        </w:tc>
      </w:tr>
      <w:tr>
        <w:trPr>
          <w:cantSplit w:val="0"/>
          <w:trHeight w:val="4999" w:hRule="atLeast"/>
          <w:tblHeader w:val="0"/>
        </w:trPr>
        <w:tc>
          <w:tcPr>
            <w:shd w:fill="ffccff" w:val="clear"/>
            <w:vAlign w:val="center"/>
          </w:tcPr>
          <w:p w:rsidR="00000000" w:rsidDel="00000000" w:rsidP="00000000" w:rsidRDefault="00000000" w:rsidRPr="00000000" w14:paraId="00000025">
            <w:pPr>
              <w:shd w:fill="ffccff" w:val="clear"/>
              <w:ind w:left="60" w:firstLine="0"/>
              <w:jc w:val="center"/>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Propuesta y metodología</w:t>
            </w:r>
          </w:p>
          <w:p w:rsidR="00000000" w:rsidDel="00000000" w:rsidP="00000000" w:rsidRDefault="00000000" w:rsidRPr="00000000" w14:paraId="00000026">
            <w:pPr>
              <w:shd w:fill="ffccff" w:val="clear"/>
              <w:spacing w:before="280" w:lineRule="auto"/>
              <w:ind w:left="60" w:firstLine="0"/>
              <w:jc w:val="center"/>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del aprendizaje</w:t>
            </w:r>
          </w:p>
          <w:p w:rsidR="00000000" w:rsidDel="00000000" w:rsidP="00000000" w:rsidRDefault="00000000" w:rsidRPr="00000000" w14:paraId="00000027">
            <w:pPr>
              <w:jc w:val="center"/>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Métodos que parten de elementos no significativos de la palabra: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El primer grupo comprende los siguientes métodos: - alfabético, de la letra, literal o grafemático; - fónicos, del sonido o del fonema; - silábico; - psicofonético</w:t>
            </w:r>
          </w:p>
          <w:p w:rsidR="00000000" w:rsidDel="00000000" w:rsidP="00000000" w:rsidRDefault="00000000" w:rsidRPr="00000000" w14:paraId="000000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Métodos que parten de unidades significativas del lenguaje: El segundo grupo comprende los métodos - de la palabra; - de la frase; - de la oración; - del cuento; - del texto libre; - de las experiencias con el lenguaje.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Las propuestas circulantes en América son muchas, posiblemente predominan las autodenominadas “eclécticas”, “integrales” o “equilibradas”. Para poder hacer un análisis que remita a propuestas comprobables y bien identificadas, se ha decidido circunscribirlas a dos grupos de materiales. Los mismos se seleccionaron por su relevancia y vigencia en la perspectiva de habilidades o destrezas (que se corresponde con el enfoque cognitivista) y el de la perspectiva de prácticas (que se corresponde con el constructivista).</w:t>
            </w:r>
          </w:p>
        </w:tc>
        <w:tc>
          <w:tcPr>
            <w:gridSpan w:val="2"/>
          </w:tcPr>
          <w:p w:rsidR="00000000" w:rsidDel="00000000" w:rsidP="00000000" w:rsidRDefault="00000000" w:rsidRPr="00000000" w14:paraId="0000002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1.-Los métodos tradicionales de lectoescritura, que responden a una variedad de supuestos, formas de enseñar y acercamientos teóricos, pero que la distancia temporal permiten agrupar en un solo rubro.</w:t>
            </w:r>
          </w:p>
          <w:p w:rsidR="00000000" w:rsidDel="00000000" w:rsidP="00000000" w:rsidRDefault="00000000" w:rsidRPr="00000000" w14:paraId="0000002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2.-Métodos fonéticos proponen una alternancia de ambos tipos de marcha.</w:t>
            </w:r>
          </w:p>
          <w:p w:rsidR="00000000" w:rsidDel="00000000" w:rsidP="00000000" w:rsidRDefault="00000000" w:rsidRPr="00000000" w14:paraId="0000002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3.-Los métodos globales buscan partir de los intereses del niño y de su voluntad de leer y escribir mensajes significativos.</w:t>
            </w:r>
          </w:p>
          <w:p w:rsidR="00000000" w:rsidDel="00000000" w:rsidP="00000000" w:rsidRDefault="00000000" w:rsidRPr="00000000" w14:paraId="0000003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4.-Método onomatopéyico de Torres Quintero propone la enseñanza directa del sonido de las letras a partir de la imitación de sonidos de la naturaleza y del entorno de los niños.</w:t>
            </w:r>
          </w:p>
          <w:p w:rsidR="00000000" w:rsidDel="00000000" w:rsidP="00000000" w:rsidRDefault="00000000" w:rsidRPr="00000000" w14:paraId="0000003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5.-La propuesta llamada del “lenguaje integral”, en la que se postula que el entorno social y cultural es suficiente para que los niños aprendan a leer y escribir.</w:t>
            </w:r>
          </w:p>
          <w:p w:rsidR="00000000" w:rsidDel="00000000" w:rsidP="00000000" w:rsidRDefault="00000000" w:rsidRPr="00000000" w14:paraId="0000003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6.-Las propuestas centradas en la conciencia fonológica que derivan de la investigación psicolingüística.</w:t>
            </w:r>
          </w:p>
          <w:p w:rsidR="00000000" w:rsidDel="00000000" w:rsidP="00000000" w:rsidRDefault="00000000" w:rsidRPr="00000000" w14:paraId="0000003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7.-Las propuestas didácticas de orientación psicogenética.</w:t>
            </w:r>
          </w:p>
          <w:p w:rsidR="00000000" w:rsidDel="00000000" w:rsidP="00000000" w:rsidRDefault="00000000" w:rsidRPr="00000000" w14:paraId="00000034">
            <w:pPr>
              <w:rPr>
                <w:rFonts w:ascii="Century Gothic" w:cs="Century Gothic" w:eastAsia="Century Gothic" w:hAnsi="Century Gothic"/>
                <w:sz w:val="24"/>
                <w:szCs w:val="24"/>
              </w:rPr>
            </w:pPr>
            <w:r w:rsidDel="00000000" w:rsidR="00000000" w:rsidRPr="00000000">
              <w:rPr>
                <w:rtl w:val="0"/>
              </w:rPr>
            </w:r>
          </w:p>
        </w:tc>
      </w:tr>
      <w:tr>
        <w:trPr>
          <w:cantSplit w:val="0"/>
          <w:trHeight w:val="1851" w:hRule="atLeast"/>
          <w:tblHeader w:val="0"/>
        </w:trPr>
        <w:tc>
          <w:tcPr>
            <w:shd w:fill="ccff66" w:val="clear"/>
            <w:vAlign w:val="center"/>
          </w:tcPr>
          <w:p w:rsidR="00000000" w:rsidDel="00000000" w:rsidP="00000000" w:rsidRDefault="00000000" w:rsidRPr="00000000" w14:paraId="00000036">
            <w:pPr>
              <w:shd w:fill="ffffff" w:val="clear"/>
              <w:ind w:left="60" w:firstLine="0"/>
              <w:jc w:val="center"/>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shd w:fill="ccff66" w:val="clear"/>
                <w:rtl w:val="0"/>
              </w:rPr>
              <w:t xml:space="preserve">Corriente teórica a la que se asocia</w:t>
            </w:r>
            <w:r w:rsidDel="00000000" w:rsidR="00000000" w:rsidRPr="00000000">
              <w:rPr>
                <w:rtl w:val="0"/>
              </w:rPr>
            </w:r>
          </w:p>
        </w:tc>
        <w:tc>
          <w:tcPr>
            <w:vAlign w:val="center"/>
          </w:tcPr>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teoría del tránsito de la confusión cognitiva a la claridad cognitiva</w:t>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teoría del esquema</w:t>
            </w:r>
          </w:p>
        </w:tc>
        <w:tc>
          <w:tcPr/>
          <w:p w:rsidR="00000000" w:rsidDel="00000000" w:rsidP="00000000" w:rsidRDefault="00000000" w:rsidRPr="00000000" w14:paraId="0000003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Desde finales de 1970 se desarrollaron estudios sobre conciencia fonológica (CF) que sustentaron rápidamente algunos enfoques de enseñanza en alfabetización inicial bajo el paradigma cognitivista y experimental. La CF consiste en la capacidad de ser consciente de las unidades en las que puede dividirse el habla (desde palabras que componen las frases hasta las unidades más pequeñas, los fonemas), y no se desarrolla al mismo tiempo que se aprende a producir y a percibir el habla</w:t>
            </w:r>
          </w:p>
        </w:tc>
        <w:tc>
          <w:tcPr>
            <w:gridSpan w:val="2"/>
          </w:tcPr>
          <w:p w:rsidR="00000000" w:rsidDel="00000000" w:rsidP="00000000" w:rsidRDefault="00000000" w:rsidRPr="00000000" w14:paraId="0000003A">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C">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Psicogenética.</w:t>
            </w:r>
          </w:p>
          <w:p w:rsidR="00000000" w:rsidDel="00000000" w:rsidP="00000000" w:rsidRDefault="00000000" w:rsidRPr="00000000" w14:paraId="0000003F">
            <w:pPr>
              <w:rPr>
                <w:rFonts w:ascii="Century Gothic" w:cs="Century Gothic" w:eastAsia="Century Gothic" w:hAnsi="Century Gothic"/>
                <w:sz w:val="24"/>
                <w:szCs w:val="24"/>
              </w:rPr>
            </w:pPr>
            <w:r w:rsidDel="00000000" w:rsidR="00000000" w:rsidRPr="00000000">
              <w:rPr>
                <w:rtl w:val="0"/>
              </w:rPr>
            </w:r>
          </w:p>
        </w:tc>
      </w:tr>
      <w:tr>
        <w:trPr>
          <w:cantSplit w:val="0"/>
          <w:trHeight w:val="648" w:hRule="atLeast"/>
          <w:tblHeader w:val="0"/>
        </w:trPr>
        <w:tc>
          <w:tcPr>
            <w:shd w:fill="9cc3e5" w:val="clear"/>
            <w:vAlign w:val="center"/>
          </w:tcPr>
          <w:p w:rsidR="00000000" w:rsidDel="00000000" w:rsidP="00000000" w:rsidRDefault="00000000" w:rsidRPr="00000000" w14:paraId="00000041">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Época</w:t>
            </w:r>
          </w:p>
          <w:p w:rsidR="00000000" w:rsidDel="00000000" w:rsidP="00000000" w:rsidRDefault="00000000" w:rsidRPr="00000000" w14:paraId="00000042">
            <w:pPr>
              <w:jc w:val="center"/>
              <w:rPr>
                <w:rFonts w:ascii="Century Gothic" w:cs="Century Gothic" w:eastAsia="Century Gothic" w:hAnsi="Century Gothic"/>
                <w:sz w:val="24"/>
                <w:szCs w:val="24"/>
              </w:rPr>
            </w:pPr>
            <w:r w:rsidDel="00000000" w:rsidR="00000000" w:rsidRPr="00000000">
              <w:rPr>
                <w:rtl w:val="0"/>
              </w:rPr>
            </w:r>
          </w:p>
        </w:tc>
        <w:tc>
          <w:tcPr>
            <w:vAlign w:val="center"/>
          </w:tcPr>
          <w:p w:rsidR="00000000" w:rsidDel="00000000" w:rsidP="00000000" w:rsidRDefault="00000000" w:rsidRPr="00000000" w14:paraId="00000043">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Década de los 70</w:t>
            </w:r>
          </w:p>
        </w:tc>
        <w:tc>
          <w:tcPr>
            <w:vAlign w:val="center"/>
          </w:tcPr>
          <w:p w:rsidR="00000000" w:rsidDel="00000000" w:rsidP="00000000" w:rsidRDefault="00000000" w:rsidRPr="00000000" w14:paraId="00000044">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1970</w:t>
            </w:r>
          </w:p>
        </w:tc>
        <w:tc>
          <w:tcPr>
            <w:gridSpan w:val="2"/>
          </w:tcPr>
          <w:p w:rsidR="00000000" w:rsidDel="00000000" w:rsidP="00000000" w:rsidRDefault="00000000" w:rsidRPr="00000000" w14:paraId="0000004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Finales del siglo XIX y principios del XX.</w:t>
            </w:r>
          </w:p>
        </w:tc>
      </w:tr>
      <w:tr>
        <w:trPr>
          <w:cantSplit w:val="0"/>
          <w:trHeight w:val="1481" w:hRule="atLeast"/>
          <w:tblHeader w:val="0"/>
        </w:trPr>
        <w:tc>
          <w:tcPr>
            <w:shd w:fill="ffd965" w:val="clear"/>
            <w:vAlign w:val="center"/>
          </w:tcPr>
          <w:p w:rsidR="00000000" w:rsidDel="00000000" w:rsidP="00000000" w:rsidRDefault="00000000" w:rsidRPr="00000000" w14:paraId="00000047">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Concepción sobre el sujeto</w:t>
            </w:r>
          </w:p>
          <w:p w:rsidR="00000000" w:rsidDel="00000000" w:rsidP="00000000" w:rsidRDefault="00000000" w:rsidRPr="00000000" w14:paraId="00000048">
            <w:pPr>
              <w:jc w:val="center"/>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49">
            <w:pPr>
              <w:tabs>
                <w:tab w:val="left" w:pos="924"/>
              </w:tabs>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El niño actúa en las experiencias cognitivas y lingüísticas para adelantar desde la anticipación, la experiencia de leer de manera interactiva con medios adquiridos para los “ajustes sucesivos”, o las “regulaciones intuitivas” que le permitirán comprender y evaluar lo que está escrito.</w:t>
            </w:r>
          </w:p>
        </w:tc>
        <w:tc>
          <w:tcPr/>
          <w:p w:rsidR="00000000" w:rsidDel="00000000" w:rsidP="00000000" w:rsidRDefault="00000000" w:rsidRPr="00000000" w14:paraId="0000004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Ferreiro y Teberosky impulsaron una metodología novedosa, fruto de su posición epistemológica. Desde entonces, en esta perspectiva se les pide a los infantes que escriban como si ya supieran hacerlo. La construcción de los datos se hace sobre la escritura producida y su proceso, incluida la interpretación de las marcas de los mismos productores. Poner a los chicos a hacer cosas de adultos e indagar la lógica subyacente a sus acciones es una posición eminentemente piagetiana, posible a través de un método de indagación conocido como clínico-crítico, donde tienen importancia tanto las respuestas convencionales como las no convencionales, porque las regularidades de las segundas revelan las lógicas propias de los niños</w:t>
            </w:r>
          </w:p>
        </w:tc>
        <w:tc>
          <w:tcPr>
            <w:gridSpan w:val="2"/>
          </w:tcPr>
          <w:p w:rsidR="00000000" w:rsidDel="00000000" w:rsidP="00000000" w:rsidRDefault="00000000" w:rsidRPr="00000000" w14:paraId="0000004B">
            <w:pPr>
              <w:numPr>
                <w:ilvl w:val="0"/>
                <w:numId w:val="4"/>
              </w:numPr>
              <w:ind w:left="780" w:hanging="360"/>
              <w:rPr>
                <w:sz w:val="24"/>
                <w:szCs w:val="24"/>
              </w:rPr>
            </w:pPr>
            <w:r w:rsidDel="00000000" w:rsidR="00000000" w:rsidRPr="00000000">
              <w:rPr>
                <w:rFonts w:ascii="Century Gothic" w:cs="Century Gothic" w:eastAsia="Century Gothic" w:hAnsi="Century Gothic"/>
                <w:sz w:val="24"/>
                <w:szCs w:val="24"/>
                <w:rtl w:val="0"/>
              </w:rPr>
              <w:t xml:space="preserve">Los niños aprenden mediante la aprehensión integral de los objetos de conocimiento; </w:t>
            </w:r>
          </w:p>
          <w:p w:rsidR="00000000" w:rsidDel="00000000" w:rsidP="00000000" w:rsidRDefault="00000000" w:rsidRPr="00000000" w14:paraId="0000004C">
            <w:pPr>
              <w:numPr>
                <w:ilvl w:val="0"/>
                <w:numId w:val="4"/>
              </w:numPr>
              <w:ind w:left="780" w:hanging="360"/>
              <w:rPr>
                <w:sz w:val="24"/>
                <w:szCs w:val="24"/>
              </w:rPr>
            </w:pPr>
            <w:r w:rsidDel="00000000" w:rsidR="00000000" w:rsidRPr="00000000">
              <w:rPr>
                <w:rFonts w:ascii="Century Gothic" w:cs="Century Gothic" w:eastAsia="Century Gothic" w:hAnsi="Century Gothic"/>
                <w:sz w:val="24"/>
                <w:szCs w:val="24"/>
                <w:rtl w:val="0"/>
              </w:rPr>
              <w:t xml:space="preserve">la enseñanza debe respetar la forma de pensar de los niños </w:t>
            </w:r>
          </w:p>
          <w:p w:rsidR="00000000" w:rsidDel="00000000" w:rsidP="00000000" w:rsidRDefault="00000000" w:rsidRPr="00000000" w14:paraId="0000004D">
            <w:pPr>
              <w:numPr>
                <w:ilvl w:val="0"/>
                <w:numId w:val="4"/>
              </w:numPr>
              <w:ind w:left="780" w:hanging="360"/>
              <w:rPr>
                <w:sz w:val="24"/>
                <w:szCs w:val="24"/>
              </w:rPr>
            </w:pPr>
            <w:r w:rsidDel="00000000" w:rsidR="00000000" w:rsidRPr="00000000">
              <w:rPr>
                <w:rFonts w:ascii="Century Gothic" w:cs="Century Gothic" w:eastAsia="Century Gothic" w:hAnsi="Century Gothic"/>
                <w:sz w:val="24"/>
                <w:szCs w:val="24"/>
                <w:rtl w:val="0"/>
              </w:rPr>
              <w:t xml:space="preserve">la escuela debe estar vinculada a la vida social de los alumnos, tanto en sus propósitos como en sus métodos de enseñanza.</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60" w:before="0" w:line="259"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 algunos de los métodos globales, se espera que los niños sean capaces de reconocer los enunciados que ya leyeron y escribieron, sin necesidad de un mayor análisis</w:t>
            </w:r>
          </w:p>
          <w:p w:rsidR="00000000" w:rsidDel="00000000" w:rsidP="00000000" w:rsidRDefault="00000000" w:rsidRPr="00000000" w14:paraId="0000004F">
            <w:pPr>
              <w:numPr>
                <w:ilvl w:val="0"/>
                <w:numId w:val="4"/>
              </w:numPr>
              <w:ind w:left="780" w:hanging="360"/>
              <w:rPr>
                <w:sz w:val="24"/>
                <w:szCs w:val="24"/>
              </w:rPr>
            </w:pPr>
            <w:r w:rsidDel="00000000" w:rsidR="00000000" w:rsidRPr="00000000">
              <w:rPr>
                <w:rFonts w:ascii="Century Gothic" w:cs="Century Gothic" w:eastAsia="Century Gothic" w:hAnsi="Century Gothic"/>
                <w:sz w:val="24"/>
                <w:szCs w:val="24"/>
                <w:rtl w:val="0"/>
              </w:rPr>
              <w:t xml:space="preserve">los niños deben aprender a identificar y manipular fonemas como una condición necesaria para que aprendan a identificar palabras escritas</w:t>
            </w:r>
          </w:p>
          <w:p w:rsidR="00000000" w:rsidDel="00000000" w:rsidP="00000000" w:rsidRDefault="00000000" w:rsidRPr="00000000" w14:paraId="00000050">
            <w:pPr>
              <w:numPr>
                <w:ilvl w:val="0"/>
                <w:numId w:val="4"/>
              </w:numPr>
              <w:ind w:left="780" w:hanging="360"/>
              <w:rPr>
                <w:sz w:val="24"/>
                <w:szCs w:val="24"/>
              </w:rPr>
            </w:pPr>
            <w:r w:rsidDel="00000000" w:rsidR="00000000" w:rsidRPr="00000000">
              <w:rPr>
                <w:rFonts w:ascii="Century Gothic" w:cs="Century Gothic" w:eastAsia="Century Gothic" w:hAnsi="Century Gothic"/>
                <w:sz w:val="24"/>
                <w:szCs w:val="24"/>
                <w:rtl w:val="0"/>
              </w:rPr>
              <w:t xml:space="preserve">los niños deben ser capaces de identificar unidades sonoras de la lengua oral, sustituirlas o cambiarlas de posición en palabras.</w:t>
            </w:r>
          </w:p>
        </w:tc>
      </w:tr>
      <w:tr>
        <w:trPr>
          <w:cantSplit w:val="0"/>
          <w:trHeight w:val="3981" w:hRule="atLeast"/>
          <w:tblHeader w:val="0"/>
        </w:trPr>
        <w:tc>
          <w:tcPr>
            <w:shd w:fill="f7cbac" w:val="clear"/>
            <w:vAlign w:val="center"/>
          </w:tcPr>
          <w:p w:rsidR="00000000" w:rsidDel="00000000" w:rsidP="00000000" w:rsidRDefault="00000000" w:rsidRPr="00000000" w14:paraId="00000052">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Concepción sobre el lenguaje</w:t>
            </w:r>
          </w:p>
        </w:tc>
        <w:tc>
          <w:tcPr/>
          <w:p w:rsidR="00000000" w:rsidDel="00000000" w:rsidP="00000000" w:rsidRDefault="00000000" w:rsidRPr="00000000" w14:paraId="00000053">
            <w:pPr>
              <w:rPr>
                <w:rFonts w:ascii="Century Gothic" w:cs="Century Gothic" w:eastAsia="Century Gothic" w:hAnsi="Century Gothic"/>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Century Gothic" w:cs="Century Gothic" w:eastAsia="Century Gothic" w:hAnsi="Century Gothic"/>
                <w:sz w:val="24"/>
                <w:szCs w:val="24"/>
                <w:rtl w:val="0"/>
              </w:rPr>
              <w:t xml:space="preserve">. la onomatopéyica, que parte de figuras de animales o personas produciendo determinados sonidos; </w:t>
            </w:r>
          </w:p>
          <w:p w:rsidR="00000000" w:rsidDel="00000000" w:rsidP="00000000" w:rsidRDefault="00000000" w:rsidRPr="00000000" w14:paraId="0000005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las “palabras claves” en las que se presta atención al sonido inicial. Por ejemplo: “manzana”, “sol”, “pelota”; </w:t>
            </w:r>
          </w:p>
          <w:p w:rsidR="00000000" w:rsidDel="00000000" w:rsidP="00000000" w:rsidRDefault="00000000" w:rsidRPr="00000000" w14:paraId="0000005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una combinación del anterior en el cual la forma de la letra se superpone al sonido; </w:t>
            </w:r>
          </w:p>
          <w:p w:rsidR="00000000" w:rsidDel="00000000" w:rsidP="00000000" w:rsidRDefault="00000000" w:rsidRPr="00000000" w14:paraId="0000005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la letra se presenta en diversas palabras para que el niño se familiarice con el sonido en situaciones distintas y lo aprenda por inducción. En todos esos casos se parte de la percepción visual de la letra para asignarle un sonido. Se reconoce otro método fónico que sigue un camino inverso del anterior, comenzando por la percepción auditiva para codificar cada sonido mediante una letra. Los métodos silábicos emplean como unidad la sílaba que se combina en</w:t>
            </w:r>
            <w:r w:rsidDel="00000000" w:rsidR="00000000" w:rsidRPr="00000000">
              <w:rPr>
                <w:rFonts w:ascii="Arial" w:cs="Arial" w:eastAsia="Arial" w:hAnsi="Arial"/>
                <w:sz w:val="24"/>
                <w:szCs w:val="24"/>
                <w:rtl w:val="0"/>
              </w:rPr>
              <w:t xml:space="preserve"> </w:t>
            </w:r>
            <w:r w:rsidDel="00000000" w:rsidR="00000000" w:rsidRPr="00000000">
              <w:rPr>
                <w:rFonts w:ascii="Century Gothic" w:cs="Century Gothic" w:eastAsia="Century Gothic" w:hAnsi="Century Gothic"/>
                <w:sz w:val="24"/>
                <w:szCs w:val="24"/>
                <w:rtl w:val="0"/>
              </w:rPr>
              <w:t xml:space="preserve">palabras y en frases. También se comienza enseñando las vocales y luego la forma y el sonido de las sílabas. Se inicia con la primera sílaba de una palabra y después se hacen ejercicios componiendo palabras. El método psicofonético consiste en comparar las sílabas de distintas palabras. El orden de presentación de las sílabas, así como el de los sonidos en los métodos fónicos, está subordinado a su utilidad como componente de la palabra sin tener en cuenta la familiaridad del niño con la misma, ni su interés, ni su comprensión.</w:t>
            </w:r>
          </w:p>
        </w:tc>
        <w:tc>
          <w:tcPr/>
          <w:p w:rsidR="00000000" w:rsidDel="00000000" w:rsidP="00000000" w:rsidRDefault="00000000" w:rsidRPr="00000000" w14:paraId="0000005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Los niños pueden comprender progresivamente cuáles son los elementos del sistema de escritura (marcas gráficas) y sus relaciones (cómo se combinan). Inicialmente, estas relaciones no se establecen con la emisión sonora.</w:t>
            </w:r>
          </w:p>
        </w:tc>
        <w:tc>
          <w:tcPr>
            <w:gridSpan w:val="2"/>
          </w:tcPr>
          <w:p w:rsidR="00000000" w:rsidDel="00000000" w:rsidP="00000000" w:rsidRDefault="00000000" w:rsidRPr="00000000" w14:paraId="00000058">
            <w:pPr>
              <w:numPr>
                <w:ilvl w:val="0"/>
                <w:numId w:val="6"/>
              </w:numPr>
              <w:ind w:left="780" w:hanging="360"/>
              <w:rPr>
                <w:sz w:val="24"/>
                <w:szCs w:val="24"/>
              </w:rPr>
            </w:pPr>
            <w:r w:rsidDel="00000000" w:rsidR="00000000" w:rsidRPr="00000000">
              <w:rPr>
                <w:rFonts w:ascii="Century Gothic" w:cs="Century Gothic" w:eastAsia="Century Gothic" w:hAnsi="Century Gothic"/>
                <w:sz w:val="24"/>
                <w:szCs w:val="24"/>
                <w:rtl w:val="0"/>
              </w:rPr>
              <w:t xml:space="preserve">Lectura de cuentos por parte del maestro y la observación de imágenes (de objetos y situaciones comunes, o de anécdotas, como en una historieta), para llegar a la lectura y escritura de frases y palabras</w:t>
            </w:r>
          </w:p>
          <w:p w:rsidR="00000000" w:rsidDel="00000000" w:rsidP="00000000" w:rsidRDefault="00000000" w:rsidRPr="00000000" w14:paraId="00000059">
            <w:pPr>
              <w:numPr>
                <w:ilvl w:val="0"/>
                <w:numId w:val="6"/>
              </w:numPr>
              <w:ind w:left="780" w:hanging="360"/>
              <w:rPr>
                <w:sz w:val="24"/>
                <w:szCs w:val="24"/>
              </w:rPr>
            </w:pPr>
            <w:r w:rsidDel="00000000" w:rsidR="00000000" w:rsidRPr="00000000">
              <w:rPr>
                <w:rFonts w:ascii="Century Gothic" w:cs="Century Gothic" w:eastAsia="Century Gothic" w:hAnsi="Century Gothic"/>
                <w:sz w:val="24"/>
                <w:szCs w:val="24"/>
                <w:rtl w:val="0"/>
              </w:rPr>
              <w:t xml:space="preserve">En esta propuesta se sostiene que la lengua escrita es una forma alternativa del lenguaje que puede ser aprendida naturalmente, de manera parecida a como los niños aprenden a hablar</w:t>
            </w:r>
          </w:p>
          <w:p w:rsidR="00000000" w:rsidDel="00000000" w:rsidP="00000000" w:rsidRDefault="00000000" w:rsidRPr="00000000" w14:paraId="0000005A">
            <w:pPr>
              <w:rPr>
                <w:rFonts w:ascii="Century Gothic" w:cs="Century Gothic" w:eastAsia="Century Gothic" w:hAnsi="Century Gothic"/>
                <w:sz w:val="24"/>
                <w:szCs w:val="24"/>
              </w:rPr>
            </w:pPr>
            <w:r w:rsidDel="00000000" w:rsidR="00000000" w:rsidRPr="00000000">
              <w:rPr>
                <w:rtl w:val="0"/>
              </w:rPr>
            </w:r>
          </w:p>
        </w:tc>
      </w:tr>
      <w:tr>
        <w:trPr>
          <w:cantSplit w:val="0"/>
          <w:trHeight w:val="5740" w:hRule="atLeast"/>
          <w:tblHeader w:val="0"/>
        </w:trPr>
        <w:tc>
          <w:tcPr>
            <w:shd w:fill="ffcccc" w:val="clear"/>
            <w:vAlign w:val="center"/>
          </w:tcPr>
          <w:p w:rsidR="00000000" w:rsidDel="00000000" w:rsidP="00000000" w:rsidRDefault="00000000" w:rsidRPr="00000000" w14:paraId="0000005C">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Ventajas</w:t>
            </w:r>
          </w:p>
          <w:p w:rsidR="00000000" w:rsidDel="00000000" w:rsidP="00000000" w:rsidRDefault="00000000" w:rsidRPr="00000000" w14:paraId="0000005D">
            <w:pPr>
              <w:jc w:val="center"/>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METODOS SINTETICOS:</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Fónico: Producción de palabras y texto</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Silábico: pronunciar letras.</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Psicosomático: no toma familiaridad de palabras</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METODOS ANALITICOS:</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Palabra: Entiende la palabra, establece relación palabra-sonido y generadores de palabra-imagen.</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Frase: uso de grupo de palabras, hacer frases.</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Oración: utiliza oraciones amplias y completas</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Cuento: ayudan a pausar, ayudan retención. Escucha, repasa y memoriza</w:t>
            </w:r>
          </w:p>
        </w:tc>
        <w:tc>
          <w:tcPr/>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aprenden practicando y reflexionando sobre los modos de hacerlo y sobre los productos de la acción.</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que los niños tomen conciencia en la acción de las complejas relaciones de interdependencia entre lengua oral y lengua escrita.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Favorecer estos ambientes alfabetizadores, en los que los niños se sientan bien al leer y escribir.</w:t>
            </w:r>
          </w:p>
          <w:p w:rsidR="00000000" w:rsidDel="00000000" w:rsidP="00000000" w:rsidRDefault="00000000" w:rsidRPr="00000000" w14:paraId="0000006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 busca que los niños comiencen a formarse como lectores y escritores</w:t>
            </w:r>
          </w:p>
          <w:p w:rsidR="00000000" w:rsidDel="00000000" w:rsidP="00000000" w:rsidRDefault="00000000" w:rsidRPr="00000000" w14:paraId="0000006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Los niños pueden darse cuenta de que lo escrito tiene partes más pequeñas que se parecen o son diferentes a los de otros enunciados.</w:t>
            </w:r>
          </w:p>
        </w:tc>
      </w:tr>
      <w:tr>
        <w:trPr>
          <w:cantSplit w:val="0"/>
          <w:trHeight w:val="2222" w:hRule="atLeast"/>
          <w:tblHeader w:val="0"/>
        </w:trPr>
        <w:tc>
          <w:tcPr>
            <w:shd w:fill="7ec9ee" w:val="clear"/>
            <w:vAlign w:val="center"/>
          </w:tcPr>
          <w:p w:rsidR="00000000" w:rsidDel="00000000" w:rsidP="00000000" w:rsidRDefault="00000000" w:rsidRPr="00000000" w14:paraId="0000006F">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Desventajas</w:t>
            </w:r>
          </w:p>
        </w:tc>
        <w:tc>
          <w:tcPr>
            <w:vAlign w:val="center"/>
          </w:tcPr>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Silábico: retarda el aprendizaje</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Oración: repetición en memorización, palabras y textos desconocidos.</w:t>
            </w:r>
          </w:p>
        </w:tc>
        <w:tc>
          <w:tcPr/>
          <w:p w:rsidR="00000000" w:rsidDel="00000000" w:rsidP="00000000" w:rsidRDefault="00000000" w:rsidRPr="00000000" w14:paraId="00000072">
            <w:pPr>
              <w:ind w:left="360" w:firstLine="0"/>
              <w:rPr>
                <w:rFonts w:ascii="Century Gothic" w:cs="Century Gothic" w:eastAsia="Century Gothic" w:hAnsi="Century Gothic"/>
              </w:rPr>
            </w:pPr>
            <w:r w:rsidDel="00000000" w:rsidR="00000000" w:rsidRPr="00000000">
              <w:rPr>
                <w:rFonts w:ascii="Century Gothic" w:cs="Century Gothic" w:eastAsia="Century Gothic" w:hAnsi="Century Gothic"/>
                <w:sz w:val="24"/>
                <w:szCs w:val="24"/>
                <w:rtl w:val="0"/>
              </w:rPr>
              <w:t xml:space="preserve">Los conocimientos infantiles sobre el sistema de escritura muestran como la ED en las aulas estudiadas no mejora las posibilidades de los chicos de ampliar el repertorio de marcas conocidas, denominarlas y usarlas para componer escrituras.</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Cuando la lengua se presenta de manera fragmentada y se recorta en fonemas o sílabas para ser enseñada, deja de ser lengua por la pérdida de significado. </w:t>
            </w:r>
          </w:p>
          <w:p w:rsidR="00000000" w:rsidDel="00000000" w:rsidP="00000000" w:rsidRDefault="00000000" w:rsidRPr="00000000" w14:paraId="000000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Una variante de los métodos fonéticos son </w:t>
            </w:r>
          </w:p>
          <w:p w:rsidR="00000000" w:rsidDel="00000000" w:rsidP="00000000" w:rsidRDefault="00000000" w:rsidRPr="00000000" w14:paraId="00000076">
            <w:pPr>
              <w:rPr>
                <w:rFonts w:ascii="Century Gothic" w:cs="Century Gothic" w:eastAsia="Century Gothic" w:hAnsi="Century Gothic"/>
                <w:sz w:val="24"/>
                <w:szCs w:val="24"/>
              </w:rPr>
            </w:pPr>
            <w:bookmarkStart w:colFirst="0" w:colLast="0" w:name="_gjdgxs" w:id="0"/>
            <w:bookmarkEnd w:id="0"/>
            <w:r w:rsidDel="00000000" w:rsidR="00000000" w:rsidRPr="00000000">
              <w:rPr>
                <w:rFonts w:ascii="Century Gothic" w:cs="Century Gothic" w:eastAsia="Century Gothic" w:hAnsi="Century Gothic"/>
                <w:sz w:val="24"/>
                <w:szCs w:val="24"/>
                <w:rtl w:val="0"/>
              </w:rPr>
              <w:t xml:space="preserve">           los métodos silábicos. En          ellos, se asume la </w:t>
            </w:r>
          </w:p>
          <w:p w:rsidR="00000000" w:rsidDel="00000000" w:rsidP="00000000" w:rsidRDefault="00000000" w:rsidRPr="00000000" w14:paraId="0000007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dificultad de pronunciar las consonantes de </w:t>
            </w:r>
          </w:p>
          <w:p w:rsidR="00000000" w:rsidDel="00000000" w:rsidP="00000000" w:rsidRDefault="00000000" w:rsidRPr="00000000" w14:paraId="0000007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manera aislada, por lo que estas letras son </w:t>
            </w:r>
          </w:p>
          <w:p w:rsidR="00000000" w:rsidDel="00000000" w:rsidP="00000000" w:rsidRDefault="00000000" w:rsidRPr="00000000" w14:paraId="0000007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presentadas a los niños siempre asociadas </w:t>
            </w:r>
          </w:p>
          <w:p w:rsidR="00000000" w:rsidDel="00000000" w:rsidP="00000000" w:rsidRDefault="00000000" w:rsidRPr="00000000" w14:paraId="0000007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una vocal</w:t>
            </w:r>
          </w:p>
        </w:tc>
      </w:tr>
    </w:tbl>
    <w:p w:rsidR="00000000" w:rsidDel="00000000" w:rsidP="00000000" w:rsidRDefault="00000000" w:rsidRPr="00000000" w14:paraId="0000007B">
      <w:pPr>
        <w:rPr>
          <w:rFonts w:ascii="Arial" w:cs="Arial" w:eastAsia="Arial" w:hAnsi="Arial"/>
          <w:sz w:val="24"/>
          <w:szCs w:val="24"/>
        </w:rPr>
      </w:pPr>
      <w:r w:rsidDel="00000000" w:rsidR="00000000" w:rsidRPr="00000000">
        <w:rPr>
          <w:rtl w:val="0"/>
        </w:rPr>
      </w:r>
    </w:p>
    <w:sectPr>
      <w:pgSz w:h="12240" w:w="20160"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