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A7E0" w14:textId="77777777" w:rsidR="000626D9" w:rsidRDefault="00E41797" w:rsidP="000626D9">
      <w:r>
        <w:rPr>
          <w:noProof/>
          <w:lang w:val="es-SV" w:eastAsia="es-SV"/>
        </w:rPr>
        <mc:AlternateContent>
          <mc:Choice Requires="wps">
            <w:drawing>
              <wp:anchor distT="0" distB="0" distL="114300" distR="114300" simplePos="0" relativeHeight="251659264" behindDoc="0" locked="0" layoutInCell="1" allowOverlap="1" wp14:anchorId="65200222" wp14:editId="17FEBF13">
                <wp:simplePos x="0" y="0"/>
                <wp:positionH relativeFrom="column">
                  <wp:posOffset>421005</wp:posOffset>
                </wp:positionH>
                <wp:positionV relativeFrom="paragraph">
                  <wp:posOffset>224155</wp:posOffset>
                </wp:positionV>
                <wp:extent cx="3556635" cy="566420"/>
                <wp:effectExtent l="5715" t="76200" r="8572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6635"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2ED3A8"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65200222" id="_x0000_t202" coordsize="21600,21600" o:spt="202" path="m,l,21600r21600,l21600,xe">
                <v:stroke joinstyle="miter"/>
                <v:path gradientshapeok="t" o:connecttype="rect"/>
              </v:shapetype>
              <v:shape id="WordArt 2" o:spid="_x0000_s1026" type="#_x0000_t202" style="position:absolute;margin-left:33.15pt;margin-top:17.65pt;width:280.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" filled="f" stroked="f">
                <v:stroke joinstyle="round"/>
                <o:lock v:ext="edit" shapetype="t"/>
                <v:textbox style="mso-fit-shape-to-text:t">
                  <w:txbxContent>
                    <w:p w14:paraId="3C2ED3A8"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r w:rsidR="000626D9">
        <w:rPr>
          <w:noProof/>
          <w:lang w:val="es-SV" w:eastAsia="es-SV"/>
        </w:rPr>
        <w:drawing>
          <wp:inline distT="0" distB="0" distL="0" distR="0" wp14:anchorId="22F504E2" wp14:editId="2CC928CC">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000626D9" w:rsidRPr="00072603">
        <w:t>INTRODUCCIÓN</w:t>
      </w:r>
    </w:p>
    <w:p w14:paraId="20891338" w14:textId="77777777" w:rsidR="000626D9" w:rsidRDefault="000626D9" w:rsidP="000626D9">
      <w:r>
        <w:t xml:space="preserve"> </w:t>
      </w:r>
    </w:p>
    <w:p w14:paraId="45B312D3" w14:textId="77777777" w:rsidR="000626D9" w:rsidRDefault="000626D9" w:rsidP="000626D9">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w:t>
      </w:r>
      <w:proofErr w:type="spellStart"/>
      <w:r>
        <w:t>intercomunicante</w:t>
      </w:r>
      <w:proofErr w:type="spellEnd"/>
      <w:r>
        <w:t xml:space="preserve">, por comodidad se suele dividir la hidrosfera marina en tres </w:t>
      </w:r>
      <w:r>
        <w:t>grandes océanos: el Pacífico, el Atlántico y el Índico, y una serie de mares adyacentes. Una tendencia reciente asigna asimismo a las aguas antárticas la categoría de océano.</w:t>
      </w:r>
    </w:p>
    <w:p w14:paraId="01E60D6F" w14:textId="77777777" w:rsidR="000626D9" w:rsidRDefault="000626D9" w:rsidP="000626D9">
      <w:r>
        <w:t xml:space="preserve">El término de “mar” se ha aplicado a partes del océano más o menos delimitadas de manera bastante arbitraria y en relación a diferentes situaciones. Por ejemplo, el mar Caspio es en realidad un lago salado, el mar Mediterráneo está cerrado por límites bien definidos, el mar Báltico también está bien </w:t>
      </w:r>
      <w:proofErr w:type="gramStart"/>
      <w:r>
        <w:t>delimitado</w:t>
      </w:r>
      <w:proofErr w:type="gramEnd"/>
      <w:r>
        <w:t xml:space="preserve"> pero en las zonas más internas es típicamente salobre, el mar Caribe tiene unos límites menos definidos y el mar de los Sargazos carece totalmente de fronteras geográficas.</w:t>
      </w:r>
    </w:p>
    <w:p w14:paraId="719E1A90" w14:textId="77777777" w:rsidR="000626D9" w:rsidRDefault="000626D9" w:rsidP="000626D9">
      <w:r>
        <w:t xml:space="preserve"> </w:t>
      </w:r>
    </w:p>
    <w:p w14:paraId="596DEBD7" w14:textId="77777777" w:rsidR="000626D9" w:rsidRDefault="000626D9" w:rsidP="000626D9">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14:paraId="68FD8CAA" w14:textId="77777777" w:rsidR="000626D9" w:rsidRDefault="000626D9" w:rsidP="000626D9">
      <w:r>
        <w:t xml:space="preserve"> </w:t>
      </w:r>
    </w:p>
    <w:p w14:paraId="6D303201" w14:textId="77777777" w:rsidR="00C923F4" w:rsidRDefault="00C923F4" w:rsidP="000626D9">
      <w:pPr>
        <w:rPr>
          <w:rFonts w:asciiTheme="majorHAnsi" w:eastAsiaTheme="majorEastAsia" w:hAnsiTheme="majorHAnsi" w:cstheme="majorBidi"/>
          <w:b/>
          <w:bCs/>
          <w:color w:val="365F91" w:themeColor="accent1" w:themeShade="BF"/>
          <w:sz w:val="28"/>
          <w:szCs w:val="28"/>
        </w:rPr>
        <w:sectPr w:rsidR="00C923F4" w:rsidSect="00C923F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num="2" w:space="794"/>
          <w:docGrid w:linePitch="360"/>
        </w:sectPr>
      </w:pPr>
    </w:p>
    <w:p w14:paraId="620A55BC" w14:textId="77777777" w:rsidR="00E41797" w:rsidRDefault="000626D9" w:rsidP="000626D9">
      <w:r w:rsidRPr="00E41797">
        <w:rPr>
          <w:rFonts w:asciiTheme="majorHAnsi" w:eastAsiaTheme="majorEastAsia" w:hAnsiTheme="majorHAnsi" w:cstheme="majorBidi"/>
          <w:b/>
          <w:bCs/>
          <w:color w:val="365F91" w:themeColor="accent1" w:themeShade="BF"/>
          <w:sz w:val="28"/>
          <w:szCs w:val="28"/>
        </w:rPr>
        <w:t>Los océanos son el sustento para la vida</w:t>
      </w:r>
    </w:p>
    <w:p w14:paraId="4187F06D" w14:textId="77777777" w:rsidR="000626D9" w:rsidRDefault="000626D9" w:rsidP="000626D9">
      <w:r>
        <w:t>y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intermareal, o en zonas poco profundas del océano y menos de un 1% de ellas viven en el fondo del océano por debajo de los 2000 metros de profundidad.</w:t>
      </w:r>
    </w:p>
    <w:p w14:paraId="171F6B5A" w14:textId="77777777" w:rsidR="000626D9" w:rsidRDefault="000626D9" w:rsidP="000626D9">
      <w:r>
        <w:t xml:space="preserve">Las zonas más productivas se concentran a lo largo de los bordes continentales y en unas pocas áreas en las que las aguas están enriquecidas por nutrientes y residuos orgánicos, que </w:t>
      </w:r>
      <w:r>
        <w:lastRenderedPageBreak/>
        <w:t>son elevados por corrientes ascendentes (afloramientos) hasta zonas iluminadas por el sol, o zonas fóticas, donde se puede producir la fotosíntesis.</w:t>
      </w:r>
    </w:p>
    <w:p w14:paraId="2B6628CC" w14:textId="77777777" w:rsidR="000626D9" w:rsidRDefault="000626D9" w:rsidP="000626D9">
      <w:r>
        <w:t xml:space="preserve">La vida en el océano se divide en regiones, o provincias, cada una de las cuales tiene sus propias formas vivas. La zona litoral o intermareal,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w:t>
      </w:r>
      <w:proofErr w:type="spellStart"/>
      <w:r>
        <w:t>sublitoral</w:t>
      </w:r>
      <w:proofErr w:type="spellEnd"/>
      <w:r>
        <w:t xml:space="preserve"> o submareal, que siempre queda sumergida. También alberga una rica variedad de </w:t>
      </w:r>
      <w:proofErr w:type="gramStart"/>
      <w:r>
        <w:t>animales,  así</w:t>
      </w:r>
      <w:proofErr w:type="gramEnd"/>
      <w:r>
        <w:t xml:space="preserve"> como bosques de algas pardas.</w:t>
      </w:r>
    </w:p>
    <w:p w14:paraId="0937F06E" w14:textId="77777777" w:rsidR="000626D9" w:rsidRDefault="000626D9" w:rsidP="000626D9">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14:paraId="420F6907" w14:textId="33984B17" w:rsidR="00E41797" w:rsidRDefault="000626D9" w:rsidP="000626D9">
      <w:pPr>
        <w:rPr>
          <w:rFonts w:asciiTheme="majorHAnsi" w:eastAsiaTheme="majorEastAsia" w:hAnsiTheme="majorHAnsi" w:cstheme="majorBidi"/>
          <w:b/>
          <w:bCs/>
          <w:color w:val="365F91" w:themeColor="accent1" w:themeShade="BF"/>
          <w:sz w:val="28"/>
          <w:szCs w:val="28"/>
        </w:rPr>
      </w:pPr>
      <w:r w:rsidRPr="00E41797">
        <w:rPr>
          <w:rFonts w:asciiTheme="majorHAnsi" w:eastAsiaTheme="majorEastAsia" w:hAnsiTheme="majorHAnsi" w:cstheme="majorBidi"/>
          <w:b/>
          <w:bCs/>
          <w:color w:val="365F91" w:themeColor="accent1" w:themeShade="BF"/>
          <w:sz w:val="28"/>
          <w:szCs w:val="28"/>
        </w:rPr>
        <w:t>Las áreas de afloramiento</w:t>
      </w:r>
      <w:r w:rsidR="00072603">
        <w:rPr>
          <w:rStyle w:val="Refdenotaalpie"/>
          <w:rFonts w:asciiTheme="majorHAnsi" w:eastAsiaTheme="majorEastAsia" w:hAnsiTheme="majorHAnsi" w:cstheme="majorBidi"/>
          <w:b/>
          <w:bCs/>
          <w:color w:val="365F91" w:themeColor="accent1" w:themeShade="BF"/>
          <w:sz w:val="28"/>
          <w:szCs w:val="28"/>
        </w:rPr>
        <w:footnoteReference w:id="1"/>
      </w:r>
    </w:p>
    <w:p w14:paraId="643D0CCE" w14:textId="77777777" w:rsidR="000626D9" w:rsidRDefault="000626D9" w:rsidP="000626D9">
      <w:r>
        <w:t xml:space="preserve"> aunque pequeñas y restringidas a unas pocas regiones, son unas importantes fuentes de renovación de nutrientes para la zona fótica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14:paraId="15211DD2" w14:textId="77777777" w:rsidR="000626D9" w:rsidRDefault="000626D9" w:rsidP="000626D9">
      <w:r>
        <w:t xml:space="preserve">El océano abierto se conoce como zona pelágica. A pesar de su inmensidad, la zona pelágica es relativa y biológicamente pobre, ya que los organismos que van muriendo se hunden desde la zona </w:t>
      </w:r>
      <w:proofErr w:type="gramStart"/>
      <w:r>
        <w:t>fótica  hacia</w:t>
      </w:r>
      <w:proofErr w:type="gramEnd"/>
      <w:r>
        <w:t xml:space="preserve"> la batipelágica, en la que los nutrientes quedan inmovilizados. No obstante, en zonas de afloramiento donde convergen las corrientes oceánicas, los nutrientes son reutilizados y la productividad puede ser elevada. Las regiones polares, que son sumamente productivas, son un buen ejemplo.</w:t>
      </w:r>
    </w:p>
    <w:p w14:paraId="3281B2BE" w14:textId="77777777" w:rsidR="000626D9" w:rsidRDefault="000626D9" w:rsidP="000626D9">
      <w:r>
        <w:t xml:space="preserve"> </w:t>
      </w:r>
    </w:p>
    <w:p w14:paraId="34B2F85E" w14:textId="2082E395" w:rsidR="000626D9" w:rsidRDefault="000626D9" w:rsidP="000626D9">
      <w:r>
        <w:t xml:space="preserve">Antes de la explotación abusiva por el hombre, se estima que las ballenas consumían al año unos 77 millones de krill antártico, mucho más que la totalidad de las capturas de </w:t>
      </w:r>
      <w:r w:rsidR="00072603">
        <w:t>fauna</w:t>
      </w:r>
      <w:r>
        <w:t>, crustáceos y moluscos realizadas por el conjunto de toda la flota pesquera mundial en un año. La enorme población de krill estaba mantenida por el fitoplancton, la base de la cadena alimentaria, que a su vez era abundante por la riqueza en nutrientes del océano antártico.</w:t>
      </w:r>
    </w:p>
    <w:p w14:paraId="50EF03B7" w14:textId="32AF8A8A" w:rsidR="000626D9" w:rsidRDefault="000626D9" w:rsidP="000626D9">
      <w:r>
        <w:lastRenderedPageBreak/>
        <w:t xml:space="preserve">Bajo la superficie o zona </w:t>
      </w:r>
      <w:proofErr w:type="spellStart"/>
      <w:r>
        <w:t>epipelágica</w:t>
      </w:r>
      <w:proofErr w:type="spellEnd"/>
      <w:r>
        <w:t xml:space="preserve">, se encuentran las grandes profundidades oceánicas, caracterizadas por una enorme presión, una oscuridad perpetua y una temperatura constante y próxima a 0°C. La zona </w:t>
      </w:r>
      <w:proofErr w:type="spellStart"/>
      <w:r>
        <w:t>mesopelágica</w:t>
      </w:r>
      <w:proofErr w:type="spellEnd"/>
      <w:r>
        <w:t xml:space="preserve"> es la “zona crepuscular”, que recibe una luz muy débil y alberga una variada comunidad de animales. Por debajo de la zona </w:t>
      </w:r>
      <w:proofErr w:type="spellStart"/>
      <w:r>
        <w:t>mesopelágica</w:t>
      </w:r>
      <w:proofErr w:type="spellEnd"/>
      <w:r>
        <w:t xml:space="preserve"> hay un mundo en perpetua oscuridad, dividido en tres zonas conocidas como batipelágica, abisopelágica y </w:t>
      </w:r>
      <w:proofErr w:type="spellStart"/>
      <w:r>
        <w:t>hadopelágica</w:t>
      </w:r>
      <w:proofErr w:type="spellEnd"/>
      <w:r>
        <w:t xml:space="preserve">.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w:t>
      </w:r>
      <w:r w:rsidR="00072603">
        <w:t>fauna</w:t>
      </w:r>
      <w:r>
        <w:t xml:space="preserve"> (la mayor parte de los principales grupos de metazoos están representados aquí). La mayoría son organismos </w:t>
      </w:r>
      <w:proofErr w:type="spellStart"/>
      <w:r>
        <w:t>suspensívoros</w:t>
      </w:r>
      <w:proofErr w:type="spellEnd"/>
      <w:r>
        <w:t xml:space="preserve"> y se caracterizan por un crecimiento sumamente lento (debido a la escasez del alimento), y </w:t>
      </w:r>
      <w:proofErr w:type="gramStart"/>
      <w:r>
        <w:t>por  vivir</w:t>
      </w:r>
      <w:proofErr w:type="gramEnd"/>
      <w:r>
        <w:t xml:space="preserve"> durante bastante tiempo.</w:t>
      </w:r>
    </w:p>
    <w:p w14:paraId="7C6E6DF3" w14:textId="77777777" w:rsidR="000626D9" w:rsidRDefault="000626D9" w:rsidP="000626D9">
      <w:r>
        <w:t xml:space="preserve">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w:t>
      </w:r>
      <w:proofErr w:type="spellStart"/>
      <w:r>
        <w:t>oceanología</w:t>
      </w:r>
      <w:proofErr w:type="spellEnd"/>
      <w:r>
        <w:t xml:space="preserve"> puesto que se trata de un campo de investigación caro, cuyos beneficios son siempre a largo plazo. Sin </w:t>
      </w:r>
      <w:proofErr w:type="gramStart"/>
      <w:r>
        <w:t>embargo</w:t>
      </w:r>
      <w:proofErr w:type="gramEnd"/>
      <w:r>
        <w:t xml:space="preserve"> el incremento de la población mundial y la demanda de nuevas fuentes de alimentos y materias primas, muchas de las cuales se están agotando en la tierra emergida, subrayan la urgencia de dedicar asimismo un mayor esfuerzo de investigación en este campo.</w:t>
      </w:r>
    </w:p>
    <w:p w14:paraId="337D07C0" w14:textId="77777777" w:rsidR="000626D9" w:rsidRDefault="000626D9" w:rsidP="000626D9">
      <w:r>
        <w:t xml:space="preserve"> </w:t>
      </w:r>
    </w:p>
    <w:p w14:paraId="06A1537E" w14:textId="77777777" w:rsidR="00C923F4" w:rsidRDefault="00C923F4" w:rsidP="000626D9">
      <w:pPr>
        <w:pStyle w:val="Ttulo1"/>
      </w:pPr>
      <w:bookmarkStart w:id="0" w:name="_Toc114608355"/>
      <w:r>
        <w:br w:type="page"/>
      </w:r>
    </w:p>
    <w:p w14:paraId="5E9F2FFB" w14:textId="31FE5F78" w:rsidR="000626D9" w:rsidRDefault="000626D9" w:rsidP="000626D9">
      <w:pPr>
        <w:pStyle w:val="Ttulo1"/>
      </w:pPr>
      <w:r>
        <w:lastRenderedPageBreak/>
        <w:t>LA EXPANSIÓN DE LOS FONDOS OCEÁNICOS</w:t>
      </w:r>
      <w:bookmarkEnd w:id="0"/>
    </w:p>
    <w:p w14:paraId="1C00AB38" w14:textId="77777777" w:rsidR="000626D9" w:rsidRDefault="000626D9" w:rsidP="000626D9">
      <w:r>
        <w:t xml:space="preserve"> </w:t>
      </w:r>
    </w:p>
    <w:p w14:paraId="60B5408F" w14:textId="77777777" w:rsidR="000626D9" w:rsidRDefault="000626D9" w:rsidP="000626D9">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14:paraId="247A9727" w14:textId="77777777" w:rsidR="000626D9" w:rsidRDefault="000626D9" w:rsidP="000626D9">
      <w:r>
        <w:t xml:space="preserve">De la fragmentación del Pangea (se piensa </w:t>
      </w:r>
      <w:proofErr w:type="gramStart"/>
      <w:r>
        <w:t>que</w:t>
      </w:r>
      <w:proofErr w:type="gramEnd"/>
      <w:r>
        <w:t xml:space="preserve"> por acumulación de calor en su parte inferior, lo cual provocó la abertura de fracturas) se originaron los océanos. El crecimiento de estos océanos poco profundos a expensas del </w:t>
      </w:r>
      <w:proofErr w:type="spellStart"/>
      <w:r>
        <w:t>superocéano</w:t>
      </w:r>
      <w:proofErr w:type="spellEnd"/>
      <w:r>
        <w:t xml:space="preserve"> más viejo y profundo hizo aumentar el nivel del mar, sumergiendo parte de los </w:t>
      </w:r>
      <w:proofErr w:type="spellStart"/>
      <w:r>
        <w:t>neocontinentes</w:t>
      </w:r>
      <w:proofErr w:type="spellEnd"/>
      <w:r>
        <w:t xml:space="preserve"> formados. El nivel del mar alcanzó su máximo hace unos 80 millones de años, después de lo cual disminuyó a medida que los nuevos océanos se hacían más viejos y profundos y se iba configurando la geología actual. </w:t>
      </w:r>
    </w:p>
    <w:p w14:paraId="0E05678C" w14:textId="760CCB88" w:rsidR="000626D9" w:rsidRDefault="000626D9" w:rsidP="000626D9">
      <w:pPr>
        <w:pStyle w:val="Ttulo1"/>
      </w:pPr>
      <w:bookmarkStart w:id="1" w:name="_Toc114608356"/>
      <w:r>
        <w:t>PARÁMETROS FÍSICOS</w:t>
      </w:r>
      <w:bookmarkEnd w:id="1"/>
      <w:r w:rsidR="00C923F4">
        <w:br w:type="textWrapping" w:clear="all"/>
      </w:r>
    </w:p>
    <w:p w14:paraId="00621811" w14:textId="77777777" w:rsidR="000626D9" w:rsidRDefault="000626D9" w:rsidP="000626D9">
      <w:r>
        <w:t xml:space="preserve"> </w:t>
      </w:r>
    </w:p>
    <w:p w14:paraId="4E41EC1D" w14:textId="77777777" w:rsidR="000626D9" w:rsidRDefault="000626D9" w:rsidP="000626D9">
      <w:r>
        <w:t xml:space="preserve">Los principales parámetros </w:t>
      </w:r>
      <w:proofErr w:type="gramStart"/>
      <w:r>
        <w:t>físico-químicos</w:t>
      </w:r>
      <w:proofErr w:type="gramEnd"/>
      <w:r>
        <w:t xml:space="preserve"> del ambiente marino son la temperatura, la salinidad, la viscosidad, la densidad, la penetración de la luz y la presión hidrostática. El agua de mar es una solución compleja con una concentración media de 35 g kg-1 de sales disueltas. En disolución se hallan </w:t>
      </w:r>
      <w:proofErr w:type="gramStart"/>
      <w:r>
        <w:t>presentes</w:t>
      </w:r>
      <w:proofErr w:type="gramEnd"/>
      <w:r>
        <w:t xml:space="preserve">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14:paraId="520BE742" w14:textId="77777777" w:rsidR="000626D9" w:rsidRDefault="000626D9" w:rsidP="000626D9">
      <w:r>
        <w:t>En general, la solución del agua de mar puede aproximarse a una solución 0,5 M de NaCl.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14:paraId="2DB3A538" w14:textId="77777777" w:rsidR="000626D9" w:rsidRDefault="000626D9" w:rsidP="000626D9">
      <w:r>
        <w:t>Dicho efecto constituye un elemento fundamental de distinción entre las aguas dulces y las salinas, e incide de manera importante en la circulación oceánica y la formación de los hielos en las áreas polares.</w:t>
      </w:r>
    </w:p>
    <w:p w14:paraId="5FD631CE" w14:textId="77777777" w:rsidR="000626D9" w:rsidRDefault="000626D9" w:rsidP="000626D9">
      <w:r>
        <w:t xml:space="preserve">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w:t>
      </w:r>
      <w:r>
        <w:lastRenderedPageBreak/>
        <w:t>Este mecanismo, junto a la elevada capacidad térmica del agua de mar, impide los fuertes 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14:paraId="37418B38" w14:textId="77777777" w:rsidR="000626D9" w:rsidRDefault="000626D9" w:rsidP="000626D9">
      <w:r>
        <w:t>1)      La radiación hacia el espacio, a la que contribuye la reflexión o albedo, que para el mar es muy pequeña (hasta el 3% de la radiación incidente), mientras que sobre el suelo es muy alta (hasta el 90% para la nieve).</w:t>
      </w:r>
    </w:p>
    <w:p w14:paraId="6886C5F2" w14:textId="77777777" w:rsidR="000626D9" w:rsidRDefault="000626D9" w:rsidP="000626D9">
      <w:r>
        <w:t>2)      La evaporación del agua.</w:t>
      </w:r>
    </w:p>
    <w:p w14:paraId="1564D69E" w14:textId="77777777" w:rsidR="000626D9" w:rsidRDefault="000626D9" w:rsidP="000626D9">
      <w:r>
        <w:t>3)      El caldeamiento de la atmósfera.</w:t>
      </w:r>
    </w:p>
    <w:p w14:paraId="588A2EFC" w14:textId="77777777" w:rsidR="000626D9" w:rsidRDefault="000626D9" w:rsidP="000626D9">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14:paraId="48394D3E" w14:textId="77777777" w:rsidR="000626D9" w:rsidRDefault="000626D9" w:rsidP="000626D9">
      <w:r>
        <w:t>A causa de la circulación oceánica y de la consiguiente mezcla de las aguas, los efectos de las condiciones climáticas del planeta se distribuyen y se promedian a nivel regional y planetario.</w:t>
      </w:r>
    </w:p>
    <w:p w14:paraId="5955193D" w14:textId="77777777" w:rsidR="000626D9" w:rsidRDefault="000626D9" w:rsidP="000626D9">
      <w:r>
        <w:t xml:space="preserve">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w:t>
      </w:r>
      <w:proofErr w:type="spellStart"/>
      <w:r>
        <w:t>ºC</w:t>
      </w:r>
      <w:proofErr w:type="spellEnd"/>
      <w:r>
        <w:t>)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14:paraId="29965752" w14:textId="77777777" w:rsidR="00072603" w:rsidRDefault="000626D9" w:rsidP="000626D9">
      <w:pPr>
        <w:sectPr w:rsidR="00072603" w:rsidSect="00C923F4">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presentes en el océano Índico), o de aguas más cálidas en el Mediterráneo en relación a las mismas altitudes y profundidades del Océano Atlántico adyacente. Como norma, por debajo de la capa superficial la temperatura del agua tiende a disminuir con la profundidad hasta alcanzar una condición de homeotermia en todas las cuencas oceánicas. Sin </w:t>
      </w:r>
      <w:proofErr w:type="gramStart"/>
      <w:r>
        <w:t>embargo</w:t>
      </w:r>
      <w:proofErr w:type="gramEnd"/>
      <w:r>
        <w:t xml:space="preserve"> dicha </w:t>
      </w:r>
    </w:p>
    <w:p w14:paraId="30B63192" w14:textId="77777777" w:rsidR="00EA65D2" w:rsidRDefault="000626D9" w:rsidP="000626D9">
      <w:r>
        <w:lastRenderedPageBreak/>
        <w:t xml:space="preserve">distribución no es general porque en algunas cuencas se dan inversiones imputables a la 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w:t>
      </w:r>
      <w:proofErr w:type="gramStart"/>
      <w:r>
        <w:t>Británicas</w:t>
      </w:r>
      <w:proofErr w:type="gramEnd"/>
      <w:r>
        <w:t>,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rFonts w:asciiTheme="minorHAnsi" w:eastAsiaTheme="minorHAnsi" w:hAnsiTheme="minorHAnsi" w:cstheme="minorBidi"/>
          <w:color w:val="auto"/>
          <w:sz w:val="22"/>
          <w:szCs w:val="22"/>
          <w:lang w:val="es-ES" w:eastAsia="en-US"/>
        </w:rPr>
        <w:id w:val="487216246"/>
        <w:docPartObj>
          <w:docPartGallery w:val="Table of Contents"/>
          <w:docPartUnique/>
        </w:docPartObj>
      </w:sdtPr>
      <w:sdtEndPr>
        <w:rPr>
          <w:b/>
          <w:bCs/>
        </w:rPr>
      </w:sdtEndPr>
      <w:sdtContent>
        <w:p w14:paraId="589883E8" w14:textId="77777777" w:rsidR="00E41797" w:rsidRDefault="00E41797">
          <w:pPr>
            <w:pStyle w:val="TtuloTDC"/>
          </w:pPr>
          <w:r>
            <w:rPr>
              <w:lang w:val="es-ES"/>
            </w:rPr>
            <w:t>Tabla de contenido</w:t>
          </w:r>
        </w:p>
        <w:p w14:paraId="012D21A9" w14:textId="593BF21F" w:rsidR="001F5E92" w:rsidRDefault="00E41797">
          <w:pPr>
            <w:pStyle w:val="TDC1"/>
            <w:tabs>
              <w:tab w:val="right" w:leader="dot" w:pos="8494"/>
            </w:tabs>
            <w:rPr>
              <w:rFonts w:eastAsiaTheme="minorEastAsia"/>
              <w:noProof/>
              <w:lang w:val="es-MX" w:eastAsia="es-MX"/>
            </w:rPr>
          </w:pPr>
          <w:r>
            <w:fldChar w:fldCharType="begin"/>
          </w:r>
          <w:r>
            <w:instrText xml:space="preserve"> TOC \o "1-3" \h \z \u </w:instrText>
          </w:r>
          <w:r>
            <w:fldChar w:fldCharType="separate"/>
          </w:r>
          <w:hyperlink w:anchor="_Toc114608355" w:history="1">
            <w:r w:rsidR="001F5E92" w:rsidRPr="00B04168">
              <w:rPr>
                <w:rStyle w:val="Hipervnculo"/>
                <w:noProof/>
              </w:rPr>
              <w:t>LA EXPANSIÓN DE LOS FONDOS OCEÁNICOS</w:t>
            </w:r>
            <w:r w:rsidR="001F5E92">
              <w:rPr>
                <w:noProof/>
                <w:webHidden/>
              </w:rPr>
              <w:tab/>
            </w:r>
            <w:r w:rsidR="001F5E92">
              <w:rPr>
                <w:noProof/>
                <w:webHidden/>
              </w:rPr>
              <w:fldChar w:fldCharType="begin"/>
            </w:r>
            <w:r w:rsidR="001F5E92">
              <w:rPr>
                <w:noProof/>
                <w:webHidden/>
              </w:rPr>
              <w:instrText xml:space="preserve"> PAGEREF _Toc114608355 \h </w:instrText>
            </w:r>
            <w:r w:rsidR="001F5E92">
              <w:rPr>
                <w:noProof/>
                <w:webHidden/>
              </w:rPr>
            </w:r>
            <w:r w:rsidR="001F5E92">
              <w:rPr>
                <w:noProof/>
                <w:webHidden/>
              </w:rPr>
              <w:fldChar w:fldCharType="separate"/>
            </w:r>
            <w:r w:rsidR="001F5E92">
              <w:rPr>
                <w:noProof/>
                <w:webHidden/>
              </w:rPr>
              <w:t>3</w:t>
            </w:r>
            <w:r w:rsidR="001F5E92">
              <w:rPr>
                <w:noProof/>
                <w:webHidden/>
              </w:rPr>
              <w:fldChar w:fldCharType="end"/>
            </w:r>
          </w:hyperlink>
        </w:p>
        <w:p w14:paraId="3B710478" w14:textId="577A5E62" w:rsidR="001F5E92" w:rsidRDefault="001F5E92">
          <w:pPr>
            <w:pStyle w:val="TDC1"/>
            <w:tabs>
              <w:tab w:val="right" w:leader="dot" w:pos="8494"/>
            </w:tabs>
            <w:rPr>
              <w:rFonts w:eastAsiaTheme="minorEastAsia"/>
              <w:noProof/>
              <w:lang w:val="es-MX" w:eastAsia="es-MX"/>
            </w:rPr>
          </w:pPr>
          <w:hyperlink w:anchor="_Toc114608356" w:history="1">
            <w:r w:rsidRPr="00B04168">
              <w:rPr>
                <w:rStyle w:val="Hipervnculo"/>
                <w:noProof/>
              </w:rPr>
              <w:t>PARÁMETROS FÍSICOS</w:t>
            </w:r>
            <w:r>
              <w:rPr>
                <w:noProof/>
                <w:webHidden/>
              </w:rPr>
              <w:tab/>
            </w:r>
            <w:r>
              <w:rPr>
                <w:noProof/>
                <w:webHidden/>
              </w:rPr>
              <w:fldChar w:fldCharType="begin"/>
            </w:r>
            <w:r>
              <w:rPr>
                <w:noProof/>
                <w:webHidden/>
              </w:rPr>
              <w:instrText xml:space="preserve"> PAGEREF _Toc114608356 \h </w:instrText>
            </w:r>
            <w:r>
              <w:rPr>
                <w:noProof/>
                <w:webHidden/>
              </w:rPr>
            </w:r>
            <w:r>
              <w:rPr>
                <w:noProof/>
                <w:webHidden/>
              </w:rPr>
              <w:fldChar w:fldCharType="separate"/>
            </w:r>
            <w:r>
              <w:rPr>
                <w:noProof/>
                <w:webHidden/>
              </w:rPr>
              <w:t>4</w:t>
            </w:r>
            <w:r>
              <w:rPr>
                <w:noProof/>
                <w:webHidden/>
              </w:rPr>
              <w:fldChar w:fldCharType="end"/>
            </w:r>
          </w:hyperlink>
        </w:p>
        <w:p w14:paraId="16F61040" w14:textId="79C552A6" w:rsidR="00E41797" w:rsidRDefault="00E41797">
          <w:r>
            <w:rPr>
              <w:b/>
              <w:bCs/>
            </w:rPr>
            <w:fldChar w:fldCharType="end"/>
          </w:r>
        </w:p>
      </w:sdtContent>
    </w:sdt>
    <w:p w14:paraId="559E5BCB" w14:textId="77777777" w:rsidR="00C923F4" w:rsidRDefault="00C923F4">
      <w:r>
        <w:rPr>
          <w:rFonts w:ascii="Arial" w:hAnsi="Arial" w:cs="Arial"/>
          <w:color w:val="000000"/>
          <w:sz w:val="18"/>
          <w:szCs w:val="18"/>
          <w:shd w:val="clear" w:color="auto" w:fill="FFFFFF"/>
        </w:rPr>
        <w:t>el mar, el subsuelo y el lecho marino hasta una distancia de 200 millas marinas contadas desde la línea de la más baja marea, todo de conformidad a las regulaciones del derecho internacional</w:t>
      </w:r>
      <w:bookmarkStart w:id="2" w:name="_GoBack"/>
      <w:bookmarkEnd w:id="2"/>
    </w:p>
    <w:p w14:paraId="78DA2DE7" w14:textId="77777777" w:rsidR="00E41797" w:rsidRDefault="00E41797" w:rsidP="000626D9"/>
    <w:sectPr w:rsidR="00E41797" w:rsidSect="00072603">
      <w:type w:val="continuous"/>
      <w:pgSz w:w="16838" w:h="11906" w:orient="landscape"/>
      <w:pgMar w:top="1701" w:right="1418" w:bottom="1701" w:left="1418" w:header="709" w:footer="709"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B2B6" w14:textId="77777777" w:rsidR="00753E2D" w:rsidRDefault="00753E2D" w:rsidP="001F5E92">
      <w:pPr>
        <w:spacing w:after="0" w:line="240" w:lineRule="auto"/>
      </w:pPr>
      <w:r>
        <w:separator/>
      </w:r>
    </w:p>
  </w:endnote>
  <w:endnote w:type="continuationSeparator" w:id="0">
    <w:p w14:paraId="72DA4D5C" w14:textId="77777777" w:rsidR="00753E2D" w:rsidRDefault="00753E2D" w:rsidP="001F5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94CC" w14:textId="77777777" w:rsidR="001F5E92" w:rsidRDefault="001F5E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5FB0" w14:textId="77777777" w:rsidR="001F5E92" w:rsidRDefault="001F5E9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2BF7" w14:textId="77777777" w:rsidR="001F5E92" w:rsidRDefault="001F5E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B410" w14:textId="77777777" w:rsidR="00753E2D" w:rsidRDefault="00753E2D" w:rsidP="001F5E92">
      <w:pPr>
        <w:spacing w:after="0" w:line="240" w:lineRule="auto"/>
      </w:pPr>
      <w:r>
        <w:separator/>
      </w:r>
    </w:p>
  </w:footnote>
  <w:footnote w:type="continuationSeparator" w:id="0">
    <w:p w14:paraId="49E16E94" w14:textId="77777777" w:rsidR="00753E2D" w:rsidRDefault="00753E2D" w:rsidP="001F5E92">
      <w:pPr>
        <w:spacing w:after="0" w:line="240" w:lineRule="auto"/>
      </w:pPr>
      <w:r>
        <w:continuationSeparator/>
      </w:r>
    </w:p>
  </w:footnote>
  <w:footnote w:id="1">
    <w:p w14:paraId="74857922" w14:textId="028C43DE" w:rsidR="00072603" w:rsidRPr="00072603" w:rsidRDefault="00072603">
      <w:pPr>
        <w:pStyle w:val="Textonotapie"/>
        <w:rPr>
          <w:lang w:val="es-MX"/>
        </w:rPr>
      </w:pPr>
      <w:r>
        <w:rPr>
          <w:rStyle w:val="Refdenotaalpie"/>
        </w:rPr>
        <w:footnoteRef/>
      </w:r>
      <w:r>
        <w:t xml:space="preserve"> </w:t>
      </w:r>
      <w:r>
        <w:t>Revisar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65A9" w14:textId="77777777" w:rsidR="001F5E92" w:rsidRDefault="001F5E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091683"/>
      <w:docPartObj>
        <w:docPartGallery w:val="Watermarks"/>
        <w:docPartUnique/>
      </w:docPartObj>
    </w:sdtPr>
    <w:sdtContent>
      <w:p w14:paraId="2B65342D" w14:textId="3CB01AD8" w:rsidR="001F5E92" w:rsidRDefault="001F5E92">
        <w:pPr>
          <w:pStyle w:val="Encabezado"/>
        </w:pPr>
        <w:r>
          <w:pict w14:anchorId="55D10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1026"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1772" w14:textId="77777777" w:rsidR="001F5E92" w:rsidRDefault="001F5E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D9"/>
    <w:rsid w:val="000626D9"/>
    <w:rsid w:val="00072603"/>
    <w:rsid w:val="001F5E92"/>
    <w:rsid w:val="006C5CC6"/>
    <w:rsid w:val="00753E2D"/>
    <w:rsid w:val="00C923F4"/>
    <w:rsid w:val="00E41797"/>
    <w:rsid w:val="00EA65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B64CA"/>
  <w15:docId w15:val="{8039DF18-06D7-4A12-9374-3F321FD2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paragraph" w:styleId="Encabezado">
    <w:name w:val="header"/>
    <w:basedOn w:val="Normal"/>
    <w:link w:val="EncabezadoCar"/>
    <w:uiPriority w:val="99"/>
    <w:unhideWhenUsed/>
    <w:rsid w:val="001F5E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5E92"/>
  </w:style>
  <w:style w:type="paragraph" w:styleId="Piedepgina">
    <w:name w:val="footer"/>
    <w:basedOn w:val="Normal"/>
    <w:link w:val="PiedepginaCar"/>
    <w:uiPriority w:val="99"/>
    <w:unhideWhenUsed/>
    <w:rsid w:val="001F5E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5E92"/>
  </w:style>
  <w:style w:type="paragraph" w:styleId="Textonotapie">
    <w:name w:val="footnote text"/>
    <w:basedOn w:val="Normal"/>
    <w:link w:val="TextonotapieCar"/>
    <w:uiPriority w:val="99"/>
    <w:semiHidden/>
    <w:unhideWhenUsed/>
    <w:rsid w:val="000726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2603"/>
    <w:rPr>
      <w:sz w:val="20"/>
      <w:szCs w:val="20"/>
    </w:rPr>
  </w:style>
  <w:style w:type="character" w:styleId="Refdenotaalpie">
    <w:name w:val="footnote reference"/>
    <w:basedOn w:val="Fuentedeprrafopredeter"/>
    <w:uiPriority w:val="99"/>
    <w:semiHidden/>
    <w:unhideWhenUsed/>
    <w:rsid w:val="000726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5F87-D5DD-4FA6-9BF1-A790A592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2312</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Platero</dc:creator>
  <cp:lastModifiedBy>DANNA SOPHIA RANGEL IBARRA</cp:lastModifiedBy>
  <cp:revision>2</cp:revision>
  <dcterms:created xsi:type="dcterms:W3CDTF">2022-09-21T04:33:00Z</dcterms:created>
  <dcterms:modified xsi:type="dcterms:W3CDTF">2022-09-21T04:33:00Z</dcterms:modified>
</cp:coreProperties>
</file>