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D9" w:rsidRPr="003955EE" w:rsidRDefault="00E41797" w:rsidP="000626D9">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" filled="f" stroked="f">
                <v:stroke joinstyle="round"/>
                <o:lock v:ext="edit" shapetype="t"/>
                <v:textbox style="mso-fit-shape-to-text:t">
                  <w:txbxContent>
                    <w:p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Pr>
          <w:noProof/>
          <w:lang w:val="es-MX" w:eastAsia="es-MX"/>
        </w:rPr>
        <w:drawing>
          <wp:inline distT="0" distB="0" distL="0" distR="0" wp14:anchorId="52A68522" wp14:editId="594E5ADE">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3955EE">
        <w:t>INTRODUCCIÓN</w:t>
      </w:r>
    </w:p>
    <w:p w:rsidR="000626D9" w:rsidRDefault="000626D9" w:rsidP="000626D9">
      <w:r>
        <w:t xml:space="preserve"> </w:t>
      </w:r>
    </w:p>
    <w:p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w:t>
      </w:r>
      <w:r>
        <w:lastRenderedPageBreak/>
        <w:t>se suele dividir la hidrosfera marina en tres grandes océanos: el Pacífico, el Atlántico y el Índico, y una serie de mares adyacentes. Una tendencia reciente asigna asimismo a las aguas antárticas la categoría de océano.</w:t>
      </w:r>
    </w:p>
    <w:p w:rsidR="000626D9" w:rsidRDefault="000626D9" w:rsidP="000626D9">
      <w:r>
        <w:t xml:space="preserve">El término de “mar” se ha aplicado a partes del océano más o menos delimitadas de manera bastante arbitraria </w:t>
      </w:r>
      <w:bookmarkStart w:id="0" w:name="_GoBack"/>
      <w:bookmarkEnd w:id="0"/>
      <w:r>
        <w:t xml:space="preserve">y en relación a diferentes situaciones. Por ejemplo, el mar Caspio es en realidad un lago salado, el mar Mediterráneo está cerrado por límites bien definidos, el mar Báltico también está bien delimitado pero en las zonas más internas es típicamente salobre, el </w:t>
      </w:r>
      <w:proofErr w:type="gramStart"/>
      <w:r>
        <w:t>mar</w:t>
      </w:r>
      <w:proofErr w:type="gramEnd"/>
      <w:r>
        <w:t xml:space="preserve"> Caribe tiene unos límites menos definidos y el mar de los Sargazos carece totalmente de fronteras geográficas.</w:t>
      </w:r>
    </w:p>
    <w:p w:rsidR="000626D9" w:rsidRDefault="000626D9" w:rsidP="000626D9">
      <w:r>
        <w:t xml:space="preserve"> </w:t>
      </w:r>
    </w:p>
    <w:p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rsidR="00E10DF8" w:rsidRDefault="00E10DF8" w:rsidP="000626D9">
      <w:pPr>
        <w:sectPr w:rsidR="00E10DF8" w:rsidSect="00E10DF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rsidR="000626D9" w:rsidRDefault="000626D9" w:rsidP="000626D9">
      <w:r>
        <w:lastRenderedPageBreak/>
        <w:t xml:space="preserve"> </w:t>
      </w:r>
    </w:p>
    <w:p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rsidR="000626D9" w:rsidRDefault="000626D9" w:rsidP="000626D9">
      <w:proofErr w:type="gramStart"/>
      <w:r>
        <w:t>y</w:t>
      </w:r>
      <w:proofErr w:type="gramEnd"/>
      <w:r>
        <w:t xml:space="preserve">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w:t>
      </w:r>
      <w:proofErr w:type="spellStart"/>
      <w:r>
        <w:t>intermareal</w:t>
      </w:r>
      <w:proofErr w:type="spellEnd"/>
      <w:r>
        <w:t>, o en zonas poco profundas del océano y menos de un 1% de ellas viven en el fondo del océano por debajo de los 2000 metros de profundidad.</w:t>
      </w:r>
    </w:p>
    <w:p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 xml:space="preserve">son elevados por corrientes ascendentes (afloramientos) hasta zonas iluminadas por el sol, o zonas </w:t>
      </w:r>
      <w:proofErr w:type="spellStart"/>
      <w:r>
        <w:t>fóticas</w:t>
      </w:r>
      <w:proofErr w:type="spellEnd"/>
      <w:r>
        <w:t>, donde se puede producir la fotosíntesis.</w:t>
      </w:r>
    </w:p>
    <w:p w:rsidR="000626D9" w:rsidRDefault="000626D9" w:rsidP="000626D9">
      <w:r>
        <w:t xml:space="preserve">La vida en el océano se divide en regiones, o provincias, cada una de las cuales tiene sus propias formas vivas. La zona litoral o </w:t>
      </w:r>
      <w:proofErr w:type="spellStart"/>
      <w:r>
        <w:t>intermareal</w:t>
      </w:r>
      <w:proofErr w:type="spellEnd"/>
      <w:r>
        <w:t xml:space="preserve">,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animales,  así como bosques de algas pardas.</w:t>
      </w:r>
    </w:p>
    <w:p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E10DF8">
        <w:rPr>
          <w:rStyle w:val="Refdenotaalpie"/>
          <w:rFonts w:asciiTheme="majorHAnsi" w:eastAsiaTheme="majorEastAsia" w:hAnsiTheme="majorHAnsi" w:cstheme="majorBidi"/>
          <w:b/>
          <w:bCs/>
          <w:color w:val="365F91" w:themeColor="accent1" w:themeShade="BF"/>
          <w:sz w:val="28"/>
          <w:szCs w:val="28"/>
        </w:rPr>
        <w:footnoteReference w:id="1"/>
      </w:r>
    </w:p>
    <w:p w:rsidR="000626D9" w:rsidRDefault="000626D9" w:rsidP="000626D9">
      <w:r>
        <w:t xml:space="preserve"> </w:t>
      </w:r>
      <w:proofErr w:type="gramStart"/>
      <w:r>
        <w:t>aunque</w:t>
      </w:r>
      <w:proofErr w:type="gramEnd"/>
      <w:r>
        <w:t xml:space="preserve"> pequeñas y restringidas a unas pocas regiones, son unas importantes fuentes de renovación de nutrientes para la zona </w:t>
      </w:r>
      <w:proofErr w:type="spellStart"/>
      <w:r>
        <w:t>fótica</w:t>
      </w:r>
      <w:proofErr w:type="spellEnd"/>
      <w:r>
        <w:t xml:space="preserve">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spellStart"/>
      <w:r>
        <w:t>fótica</w:t>
      </w:r>
      <w:proofErr w:type="spellEnd"/>
      <w:r>
        <w:t xml:space="preserve">  hacia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rsidR="000626D9" w:rsidRDefault="000626D9" w:rsidP="000626D9">
      <w:r>
        <w:t xml:space="preserve"> </w:t>
      </w:r>
    </w:p>
    <w:p w:rsidR="000626D9" w:rsidRDefault="000626D9" w:rsidP="000626D9">
      <w:r>
        <w:t xml:space="preserve">Antes de la explotación abusiva por el hombre, se estima que las ballenas consumían al año unos 77 millones de krill antártico, mucho más que la totalidad de las capturas de </w:t>
      </w:r>
      <w:r w:rsidR="003955EE">
        <w:t>fauna</w:t>
      </w:r>
      <w:r>
        <w:t>,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w:t>
      </w:r>
      <w:r w:rsidR="003955EE">
        <w:t>fauna</w:t>
      </w:r>
      <w:r>
        <w:t xml:space="preserve">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por  vivir durante bastante tiempo.</w:t>
      </w:r>
    </w:p>
    <w:p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embargo el incremento de la población mundial y la demanda de nuevas fuentes de alimentos y materias primas, muchas de las cuales se están agotando en la tierra emergida, subrayan la urgencia de dedicar asimismo un mayor esfuerzo de investigación en este campo.</w:t>
      </w:r>
    </w:p>
    <w:p w:rsidR="000626D9" w:rsidRDefault="000626D9" w:rsidP="000626D9">
      <w:r>
        <w:t xml:space="preserve"> </w:t>
      </w:r>
    </w:p>
    <w:p w:rsidR="00F55BCE" w:rsidRDefault="00F55BCE" w:rsidP="000626D9">
      <w:pPr>
        <w:pStyle w:val="Ttulo1"/>
      </w:pPr>
      <w:bookmarkStart w:id="1" w:name="_Toc114827134"/>
      <w:r>
        <w:br w:type="page"/>
      </w:r>
    </w:p>
    <w:p w:rsidR="000626D9" w:rsidRDefault="000626D9" w:rsidP="000626D9">
      <w:pPr>
        <w:pStyle w:val="Ttulo1"/>
      </w:pPr>
      <w:r>
        <w:lastRenderedPageBreak/>
        <w:t>LA EXPANSIÓN DE LOS FONDOS OCEÁNICOS</w:t>
      </w:r>
      <w:bookmarkEnd w:id="1"/>
    </w:p>
    <w:p w:rsidR="000626D9" w:rsidRDefault="000626D9" w:rsidP="000626D9">
      <w:r>
        <w:t xml:space="preserve"> </w:t>
      </w:r>
    </w:p>
    <w:p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rsidR="000626D9" w:rsidRDefault="000626D9" w:rsidP="000626D9">
      <w:r>
        <w:t xml:space="preserve">De la fragmentación del </w:t>
      </w:r>
      <w:proofErr w:type="spellStart"/>
      <w:r>
        <w:t>Pangea</w:t>
      </w:r>
      <w:proofErr w:type="spellEnd"/>
      <w:r>
        <w:t xml:space="preserve"> (se piensa que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rsidR="000626D9" w:rsidRDefault="000626D9" w:rsidP="000626D9">
      <w:pPr>
        <w:pStyle w:val="Ttulo1"/>
      </w:pPr>
      <w:bookmarkStart w:id="2" w:name="_Toc114827135"/>
      <w:r>
        <w:t>PARÁMETROS FÍSICOS</w:t>
      </w:r>
      <w:bookmarkEnd w:id="2"/>
      <w:r w:rsidR="00F55BCE">
        <w:br w:type="textWrapping" w:clear="all"/>
      </w:r>
    </w:p>
    <w:p w:rsidR="000626D9" w:rsidRDefault="000626D9" w:rsidP="000626D9">
      <w:r>
        <w:t xml:space="preserve"> </w:t>
      </w:r>
    </w:p>
    <w:p w:rsidR="000626D9" w:rsidRDefault="000626D9" w:rsidP="000626D9">
      <w:r>
        <w:t>Los principales parámetros físico-químicos del ambiente marino son la temperatura, la salinidad, la viscosidad, la densidad, la penetración de la luz y la presión hidrostática. El agua de mar es una solución compleja con una concentración media de 35 g kg-1 de sales disueltas. En disolución se hallan presentes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rsidR="000626D9" w:rsidRDefault="000626D9" w:rsidP="000626D9">
      <w:r>
        <w:t xml:space="preserve">En general, la solución del agua de mar puede aproximarse a una solución 0,5 M de </w:t>
      </w:r>
      <w:proofErr w:type="spellStart"/>
      <w:r>
        <w:t>NaCl</w:t>
      </w:r>
      <w:proofErr w:type="spellEnd"/>
      <w:r>
        <w:t>.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rsidR="000626D9" w:rsidRDefault="000626D9" w:rsidP="000626D9">
      <w:r>
        <w:t>2)      La evaporación del agua.</w:t>
      </w:r>
    </w:p>
    <w:p w:rsidR="000626D9" w:rsidRDefault="000626D9" w:rsidP="000626D9">
      <w:r>
        <w:t>3)      El caldeamiento de la atmósfera.</w:t>
      </w:r>
    </w:p>
    <w:p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rsidR="000626D9" w:rsidRDefault="000626D9" w:rsidP="000626D9">
      <w:r>
        <w:t>A causa de la circulación oceánica y de la consiguiente mezcla de las aguas, los efectos de las condiciones climáticas del planeta se distribuyen y se promedian a nivel regional y planetario.</w:t>
      </w:r>
    </w:p>
    <w:p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rsidR="00E10DF8" w:rsidRDefault="000626D9" w:rsidP="000626D9">
      <w:pPr>
        <w:sectPr w:rsidR="00E10DF8" w:rsidSect="00E10DF8">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en relación a las mismas altitudes y profundidades del Océano Atlántico adyacente. Como norma, por debajo de la capa superficial la temperatura del agua tiende a disminuir con la profundidad hasta alcanzar una condición de </w:t>
      </w:r>
      <w:proofErr w:type="spellStart"/>
      <w:r>
        <w:t>homeotermia</w:t>
      </w:r>
      <w:proofErr w:type="spellEnd"/>
      <w:r>
        <w:t xml:space="preserve"> en todas las cuencas oceánicas. Sin embargo dicha </w:t>
      </w:r>
    </w:p>
    <w:p w:rsidR="00EA65D2" w:rsidRDefault="000626D9" w:rsidP="000626D9">
      <w:proofErr w:type="gramStart"/>
      <w:r>
        <w:lastRenderedPageBreak/>
        <w:t>distribución</w:t>
      </w:r>
      <w:proofErr w:type="gramEnd"/>
      <w:r>
        <w:t xml:space="preserve">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Británicas,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rsidR="00E41797" w:rsidRDefault="00E41797">
          <w:pPr>
            <w:pStyle w:val="TtulodeTDC"/>
          </w:pPr>
          <w:r>
            <w:rPr>
              <w:lang w:val="es-ES"/>
            </w:rPr>
            <w:t>Tabla de contenido</w:t>
          </w:r>
        </w:p>
        <w:p w:rsidR="00F55BCE" w:rsidRDefault="00E41797">
          <w:pPr>
            <w:pStyle w:val="TDC1"/>
            <w:tabs>
              <w:tab w:val="right" w:leader="dot" w:pos="8494"/>
            </w:tabs>
            <w:rPr>
              <w:rFonts w:eastAsiaTheme="minorEastAsia"/>
              <w:noProof/>
              <w:lang w:val="es-MX" w:eastAsia="es-MX"/>
            </w:rPr>
          </w:pPr>
          <w:r>
            <w:fldChar w:fldCharType="begin"/>
          </w:r>
          <w:r>
            <w:instrText xml:space="preserve"> TOC \o "1-3" \h \z \u </w:instrText>
          </w:r>
          <w:r>
            <w:fldChar w:fldCharType="separate"/>
          </w:r>
          <w:hyperlink w:anchor="_Toc114827134" w:history="1">
            <w:r w:rsidR="00F55BCE" w:rsidRPr="00712E34">
              <w:rPr>
                <w:rStyle w:val="Hipervnculo"/>
                <w:noProof/>
              </w:rPr>
              <w:t>LA EXPANSIÓN DE LOS FONDOS OCEÁNICOS</w:t>
            </w:r>
            <w:r w:rsidR="00F55BCE">
              <w:rPr>
                <w:noProof/>
                <w:webHidden/>
              </w:rPr>
              <w:tab/>
            </w:r>
            <w:r w:rsidR="00F55BCE">
              <w:rPr>
                <w:noProof/>
                <w:webHidden/>
              </w:rPr>
              <w:fldChar w:fldCharType="begin"/>
            </w:r>
            <w:r w:rsidR="00F55BCE">
              <w:rPr>
                <w:noProof/>
                <w:webHidden/>
              </w:rPr>
              <w:instrText xml:space="preserve"> PAGEREF _Toc114827134 \h </w:instrText>
            </w:r>
            <w:r w:rsidR="00F55BCE">
              <w:rPr>
                <w:noProof/>
                <w:webHidden/>
              </w:rPr>
            </w:r>
            <w:r w:rsidR="00F55BCE">
              <w:rPr>
                <w:noProof/>
                <w:webHidden/>
              </w:rPr>
              <w:fldChar w:fldCharType="separate"/>
            </w:r>
            <w:r w:rsidR="00F55BCE">
              <w:rPr>
                <w:noProof/>
                <w:webHidden/>
              </w:rPr>
              <w:t>3</w:t>
            </w:r>
            <w:r w:rsidR="00F55BCE">
              <w:rPr>
                <w:noProof/>
                <w:webHidden/>
              </w:rPr>
              <w:fldChar w:fldCharType="end"/>
            </w:r>
          </w:hyperlink>
        </w:p>
        <w:p w:rsidR="00F55BCE" w:rsidRDefault="00F55BCE">
          <w:pPr>
            <w:pStyle w:val="TDC1"/>
            <w:tabs>
              <w:tab w:val="right" w:leader="dot" w:pos="8494"/>
            </w:tabs>
            <w:rPr>
              <w:rFonts w:eastAsiaTheme="minorEastAsia"/>
              <w:noProof/>
              <w:lang w:val="es-MX" w:eastAsia="es-MX"/>
            </w:rPr>
          </w:pPr>
          <w:hyperlink w:anchor="_Toc114827135" w:history="1">
            <w:r w:rsidRPr="00712E34">
              <w:rPr>
                <w:rStyle w:val="Hipervnculo"/>
                <w:noProof/>
              </w:rPr>
              <w:t>PARÁMETROS FÍSICOS</w:t>
            </w:r>
            <w:r>
              <w:rPr>
                <w:noProof/>
                <w:webHidden/>
              </w:rPr>
              <w:tab/>
            </w:r>
            <w:r>
              <w:rPr>
                <w:noProof/>
                <w:webHidden/>
              </w:rPr>
              <w:fldChar w:fldCharType="begin"/>
            </w:r>
            <w:r>
              <w:rPr>
                <w:noProof/>
                <w:webHidden/>
              </w:rPr>
              <w:instrText xml:space="preserve"> PAGEREF _Toc114827135 \h </w:instrText>
            </w:r>
            <w:r>
              <w:rPr>
                <w:noProof/>
                <w:webHidden/>
              </w:rPr>
            </w:r>
            <w:r>
              <w:rPr>
                <w:noProof/>
                <w:webHidden/>
              </w:rPr>
              <w:fldChar w:fldCharType="separate"/>
            </w:r>
            <w:r>
              <w:rPr>
                <w:noProof/>
                <w:webHidden/>
              </w:rPr>
              <w:t>4</w:t>
            </w:r>
            <w:r>
              <w:rPr>
                <w:noProof/>
                <w:webHidden/>
              </w:rPr>
              <w:fldChar w:fldCharType="end"/>
            </w:r>
          </w:hyperlink>
        </w:p>
        <w:p w:rsidR="00E41797" w:rsidRDefault="00E41797">
          <w:r>
            <w:rPr>
              <w:b/>
              <w:bCs/>
            </w:rPr>
            <w:fldChar w:fldCharType="end"/>
          </w:r>
        </w:p>
      </w:sdtContent>
    </w:sdt>
    <w:p w:rsidR="00E10DF8" w:rsidRDefault="00E10DF8">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p>
    <w:p w:rsidR="00E41797" w:rsidRDefault="00E41797" w:rsidP="000626D9"/>
    <w:sectPr w:rsidR="00E41797" w:rsidSect="00E10DF8">
      <w:type w:val="continuous"/>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53" w:rsidRDefault="00D03553" w:rsidP="00F55BCE">
      <w:pPr>
        <w:spacing w:after="0" w:line="240" w:lineRule="auto"/>
      </w:pPr>
      <w:r>
        <w:separator/>
      </w:r>
    </w:p>
  </w:endnote>
  <w:endnote w:type="continuationSeparator" w:id="0">
    <w:p w:rsidR="00D03553" w:rsidRDefault="00D03553" w:rsidP="00F5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CE" w:rsidRDefault="00F55B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CE" w:rsidRDefault="00F55BC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CE" w:rsidRDefault="00F55B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53" w:rsidRDefault="00D03553" w:rsidP="00F55BCE">
      <w:pPr>
        <w:spacing w:after="0" w:line="240" w:lineRule="auto"/>
      </w:pPr>
      <w:r>
        <w:separator/>
      </w:r>
    </w:p>
  </w:footnote>
  <w:footnote w:type="continuationSeparator" w:id="0">
    <w:p w:rsidR="00D03553" w:rsidRDefault="00D03553" w:rsidP="00F55BCE">
      <w:pPr>
        <w:spacing w:after="0" w:line="240" w:lineRule="auto"/>
      </w:pPr>
      <w:r>
        <w:continuationSeparator/>
      </w:r>
    </w:p>
  </w:footnote>
  <w:footnote w:id="1">
    <w:p w:rsidR="00E10DF8" w:rsidRPr="00E10DF8" w:rsidRDefault="00E10DF8">
      <w:pPr>
        <w:pStyle w:val="Textonotapie"/>
        <w:rPr>
          <w:lang w:val="es-MX"/>
        </w:rPr>
      </w:pPr>
      <w:r>
        <w:rPr>
          <w:rStyle w:val="Refdenotaalpie"/>
        </w:rPr>
        <w:footnoteRef/>
      </w:r>
      <w:r>
        <w:t xml:space="preserve"> </w:t>
      </w:r>
      <w:r>
        <w:rPr>
          <w:lang w:val="es-MX"/>
        </w:rPr>
        <w:t xml:space="preserve">Revisar información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CE" w:rsidRDefault="00F55B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606232"/>
      <w:docPartObj>
        <w:docPartGallery w:val="Watermarks"/>
        <w:docPartUnique/>
      </w:docPartObj>
    </w:sdtPr>
    <w:sdtContent>
      <w:p w:rsidR="00F55BCE" w:rsidRDefault="00F55BCE">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margin-left:0;margin-top:0;width:467.95pt;height:155.95pt;z-index:-251657216;mso-position-horizontal:center;mso-position-horizontal-relative:margin;mso-position-vertical:center;mso-position-vertical-relative:margin" o:allowincell="f" fillcolor="silver" stroked="f">
              <v:fill opacity=".5"/>
              <v:textpath style="font-family:&quot;calibri&quot;;font-size:1pt" string="NO COPIA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BCE" w:rsidRDefault="00F55B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9"/>
    <w:rsid w:val="000626D9"/>
    <w:rsid w:val="003955EE"/>
    <w:rsid w:val="006C5CC6"/>
    <w:rsid w:val="00D03553"/>
    <w:rsid w:val="00E10DF8"/>
    <w:rsid w:val="00E207CC"/>
    <w:rsid w:val="00E41797"/>
    <w:rsid w:val="00EA65D2"/>
    <w:rsid w:val="00F55B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F55B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BCE"/>
  </w:style>
  <w:style w:type="paragraph" w:styleId="Piedepgina">
    <w:name w:val="footer"/>
    <w:basedOn w:val="Normal"/>
    <w:link w:val="PiedepginaCar"/>
    <w:uiPriority w:val="99"/>
    <w:unhideWhenUsed/>
    <w:rsid w:val="00F55B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BCE"/>
  </w:style>
  <w:style w:type="paragraph" w:styleId="Textonotapie">
    <w:name w:val="footnote text"/>
    <w:basedOn w:val="Normal"/>
    <w:link w:val="TextonotapieCar"/>
    <w:uiPriority w:val="99"/>
    <w:semiHidden/>
    <w:unhideWhenUsed/>
    <w:rsid w:val="00E10D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0DF8"/>
    <w:rPr>
      <w:sz w:val="20"/>
      <w:szCs w:val="20"/>
    </w:rPr>
  </w:style>
  <w:style w:type="character" w:styleId="Refdenotaalpie">
    <w:name w:val="footnote reference"/>
    <w:basedOn w:val="Fuentedeprrafopredeter"/>
    <w:uiPriority w:val="99"/>
    <w:semiHidden/>
    <w:unhideWhenUsed/>
    <w:rsid w:val="00E10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FB9D-140B-4499-A39C-76A04666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2312</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ENEP</cp:lastModifiedBy>
  <cp:revision>2</cp:revision>
  <dcterms:created xsi:type="dcterms:W3CDTF">2022-09-23T17:20:00Z</dcterms:created>
  <dcterms:modified xsi:type="dcterms:W3CDTF">2022-09-23T17:20:00Z</dcterms:modified>
</cp:coreProperties>
</file>