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-456564</wp:posOffset>
            </wp:positionH>
            <wp:positionV relativeFrom="paragraph">
              <wp:posOffset>-424814</wp:posOffset>
            </wp:positionV>
            <wp:extent cx="1133475" cy="1394460"/>
            <wp:effectExtent b="0" l="0" r="0" t="0"/>
            <wp:wrapNone/>
            <wp:docPr descr="Resultado de imagen para escudo de la escuela normal de educación preescolar" id="1" name="image1.png"/>
            <a:graphic>
              <a:graphicData uri="http://schemas.openxmlformats.org/drawingml/2006/picture">
                <pic:pic>
                  <pic:nvPicPr>
                    <pic:cNvPr descr="Resultado de imagen para escudo de la escuela normal de educación preescolar" id="0" name="image1.png"/>
                    <pic:cNvPicPr preferRelativeResize="0"/>
                  </pic:nvPicPr>
                  <pic:blipFill>
                    <a:blip r:embed="rId6"/>
                    <a:srcRect b="0" l="22012" r="1757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394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ind w:left="708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ESCUELA NORMAL DE EDUCACION PREESCOLAR </w:t>
      </w:r>
    </w:p>
    <w:p w:rsidR="00000000" w:rsidDel="00000000" w:rsidP="00000000" w:rsidRDefault="00000000" w:rsidRPr="00000000" w14:paraId="00000003">
      <w:pPr>
        <w:spacing w:line="360" w:lineRule="auto"/>
        <w:ind w:left="708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Licenciatura en Educación Preescolar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Optativa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4“B”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Video informativo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Unidad 1 “Los niños y los rostros de la violencia”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Competencias:</w:t>
      </w:r>
    </w:p>
    <w:tbl>
      <w:tblPr>
        <w:tblStyle w:val="Table1"/>
        <w:tblW w:w="9406.0" w:type="dxa"/>
        <w:jc w:val="left"/>
        <w:tblLayout w:type="fixed"/>
        <w:tblLook w:val="0400"/>
      </w:tblPr>
      <w:tblGrid>
        <w:gridCol w:w="81"/>
        <w:gridCol w:w="9325"/>
        <w:tblGridChange w:id="0">
          <w:tblGrid>
            <w:gridCol w:w="81"/>
            <w:gridCol w:w="9325"/>
          </w:tblGrid>
        </w:tblGridChange>
      </w:tblGrid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Actúa de manera ética ante la diversidad de situaciones que se presentan en la práctica profesional.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Colabora con la comunidad escolar, padres de familia, autoridades y docentes, en la toma de decisiones y en el desarrollo de alternativas de solución a problemáticas socioeducativas.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Maestro;: Héctor Homero de la Rosa Fuentes                                                          Alumna: Laura Alejandra Treviño Aguirre #23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Link del video: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https://youtu.be/L7coIr2cCx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2" w:w="12242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L7coIr2c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