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57F4B2C0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F33DB6">
              <w:rPr>
                <w:rFonts w:ascii="Arial" w:hAnsi="Arial" w:cs="Arial"/>
                <w:sz w:val="20"/>
                <w:szCs w:val="20"/>
              </w:rPr>
              <w:t xml:space="preserve"> de Educación Preescolar 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4BC5F2F9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  <w:r w:rsidR="00F33DB6">
              <w:rPr>
                <w:rFonts w:ascii="Arial" w:hAnsi="Arial" w:cs="Arial"/>
                <w:sz w:val="20"/>
                <w:szCs w:val="20"/>
              </w:rPr>
              <w:t xml:space="preserve">de Educación Preescolar 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13F4629B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33DB6" w:rsidRPr="001847CC">
              <w:rPr>
                <w:rFonts w:ascii="Arial" w:hAnsi="Arial" w:cs="Arial"/>
                <w:b/>
                <w:bCs/>
                <w:sz w:val="20"/>
                <w:szCs w:val="20"/>
              </w:rPr>
              <w:t>Gestión Educativa Centrada en la Mejora del Aprendizaje.</w:t>
            </w:r>
          </w:p>
        </w:tc>
        <w:tc>
          <w:tcPr>
            <w:tcW w:w="1951" w:type="pct"/>
            <w:gridSpan w:val="2"/>
          </w:tcPr>
          <w:p w14:paraId="43B1BDA1" w14:textId="3B0B6911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F33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DB6">
              <w:rPr>
                <w:rStyle w:val="Textoennegrita"/>
                <w:rFonts w:ascii="Calibri" w:hAnsi="Calibri" w:cs="Calibri"/>
                <w:color w:val="000000"/>
              </w:rPr>
              <w:t>Bases teórico metodológicas para la enseñanza</w:t>
            </w:r>
          </w:p>
        </w:tc>
        <w:tc>
          <w:tcPr>
            <w:tcW w:w="627" w:type="pct"/>
          </w:tcPr>
          <w:p w14:paraId="14C4A8F3" w14:textId="4E84921A" w:rsidR="00091BBF" w:rsidRPr="008C4294" w:rsidRDefault="00091BBF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 xml:space="preserve">Semestre </w:t>
            </w:r>
            <w:r w:rsidR="00F33DB6" w:rsidRPr="001847C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3" w:type="pct"/>
          </w:tcPr>
          <w:p w14:paraId="5792357D" w14:textId="626A500A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F33DB6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67117BE8" w:rsidR="00AC342B" w:rsidRPr="005A69F0" w:rsidRDefault="00F33DB6" w:rsidP="00486F94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Fabiola Valero Torres </w:t>
            </w:r>
            <w:r w:rsidR="00946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="009469BF" w:rsidRPr="009469BF">
              <w:rPr>
                <w:rFonts w:ascii="Arial" w:hAnsi="Arial" w:cs="Arial"/>
                <w:b/>
                <w:bCs/>
                <w:sz w:val="20"/>
                <w:szCs w:val="20"/>
              </w:rPr>
              <w:t>Roxana Janeth Sánchez Suárez</w:t>
            </w:r>
          </w:p>
        </w:tc>
        <w:tc>
          <w:tcPr>
            <w:tcW w:w="1500" w:type="pct"/>
            <w:gridSpan w:val="2"/>
          </w:tcPr>
          <w:p w14:paraId="51738708" w14:textId="6ED7827F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1847CC">
              <w:rPr>
                <w:rFonts w:ascii="Arial" w:hAnsi="Arial" w:cs="Arial"/>
                <w:sz w:val="20"/>
                <w:szCs w:val="20"/>
              </w:rPr>
              <w:t xml:space="preserve"> 19 de agosto de 20</w:t>
            </w:r>
            <w:r w:rsidR="00DE4EC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1843"/>
        <w:gridCol w:w="3305"/>
        <w:gridCol w:w="663"/>
        <w:gridCol w:w="710"/>
        <w:gridCol w:w="628"/>
        <w:gridCol w:w="720"/>
        <w:gridCol w:w="1626"/>
        <w:gridCol w:w="4396"/>
        <w:gridCol w:w="2806"/>
      </w:tblGrid>
      <w:tr w:rsidR="008C4294" w:rsidRPr="008C4294" w14:paraId="72B823A8" w14:textId="7ED31F19" w:rsidTr="00A646F9">
        <w:trPr>
          <w:cantSplit/>
          <w:trHeight w:val="278"/>
          <w:tblHeader/>
        </w:trPr>
        <w:tc>
          <w:tcPr>
            <w:tcW w:w="317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517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eclaSE)</w:t>
            </w:r>
          </w:p>
        </w:tc>
        <w:tc>
          <w:tcPr>
            <w:tcW w:w="927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02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56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2ADF3196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 xml:space="preserve">separadas por coma y sin espacio (ejemplo </w:t>
            </w:r>
            <w:proofErr w:type="gramStart"/>
            <w:r w:rsidRPr="008C4294">
              <w:rPr>
                <w:rFonts w:cstheme="minorHAnsi"/>
                <w:b/>
                <w:sz w:val="16"/>
                <w:szCs w:val="16"/>
              </w:rPr>
              <w:t>ecuaciones,lineales</w:t>
            </w:r>
            <w:proofErr w:type="gramEnd"/>
            <w:r w:rsidRPr="008C4294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7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A646F9">
        <w:trPr>
          <w:cantSplit/>
          <w:trHeight w:val="277"/>
          <w:tblHeader/>
        </w:trPr>
        <w:tc>
          <w:tcPr>
            <w:tcW w:w="317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294" w:rsidRPr="008C4294" w14:paraId="33CD7FB4" w14:textId="760B2BE6" w:rsidTr="00A646F9">
        <w:trPr>
          <w:cantSplit/>
          <w:trHeight w:val="169"/>
        </w:trPr>
        <w:tc>
          <w:tcPr>
            <w:tcW w:w="317" w:type="pct"/>
          </w:tcPr>
          <w:p w14:paraId="334549FD" w14:textId="16739079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</w:tcPr>
          <w:p w14:paraId="0612A3C7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115811F1" w14:textId="6E9F6A58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939A6B5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C39B09D" w14:textId="277B88BE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C397524" w14:textId="3831EEB5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34FB487" w14:textId="2F2ED390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A5C74FF" w14:textId="70D861EF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A31343" w14:textId="74761389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6CA7990" w14:textId="3A3092A2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7C43C31B" w14:textId="09B860AD" w:rsidTr="00A646F9">
        <w:trPr>
          <w:cantSplit/>
          <w:trHeight w:val="70"/>
        </w:trPr>
        <w:tc>
          <w:tcPr>
            <w:tcW w:w="317" w:type="pct"/>
            <w:vMerge w:val="restart"/>
          </w:tcPr>
          <w:p w14:paraId="279FC39A" w14:textId="77777777" w:rsidR="00BF79EA" w:rsidRDefault="00F33DB6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1</w:t>
            </w:r>
          </w:p>
          <w:p w14:paraId="3505A845" w14:textId="12755A27" w:rsidR="00F33DB6" w:rsidRPr="008C4294" w:rsidRDefault="00F33DB6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  <w:r w:rsidRPr="00F33DB6">
              <w:rPr>
                <w:rFonts w:cstheme="minorHAnsi"/>
                <w:sz w:val="18"/>
                <w:szCs w:val="18"/>
              </w:rPr>
              <w:t>La gestión educativa</w:t>
            </w:r>
          </w:p>
        </w:tc>
        <w:tc>
          <w:tcPr>
            <w:tcW w:w="517" w:type="pct"/>
            <w:vMerge w:val="restart"/>
          </w:tcPr>
          <w:p w14:paraId="7030A242" w14:textId="133B629C" w:rsidR="00BF79EA" w:rsidRPr="008C4294" w:rsidRDefault="00F33DB6" w:rsidP="00C35247">
            <w:pPr>
              <w:rPr>
                <w:rFonts w:cstheme="minorHAnsi"/>
                <w:sz w:val="18"/>
                <w:szCs w:val="18"/>
              </w:rPr>
            </w:pPr>
            <w:r w:rsidRPr="00F33DB6">
              <w:rPr>
                <w:sz w:val="18"/>
                <w:szCs w:val="18"/>
              </w:rPr>
              <w:t>El estudiante integra recursos de la investigación en la revisión de los paradigmas más recientes de la gestión educativa, así como sus alcances en</w:t>
            </w:r>
            <w:r>
              <w:rPr>
                <w:sz w:val="20"/>
                <w:szCs w:val="20"/>
              </w:rPr>
              <w:t xml:space="preserve"> </w:t>
            </w:r>
            <w:r w:rsidRPr="00F33DB6">
              <w:rPr>
                <w:sz w:val="18"/>
                <w:szCs w:val="18"/>
              </w:rPr>
              <w:t xml:space="preserve">el sistema educativo mexicano y en particular en educación básica. Analizará los marcos legales y normativos que permean el sistema mexicano para la gestión educativa para reflexionar entre lo real, lo posible y lo viable. </w:t>
            </w:r>
            <w:r w:rsidR="002D7919" w:rsidRPr="00F33DB6">
              <w:rPr>
                <w:sz w:val="18"/>
                <w:szCs w:val="18"/>
              </w:rPr>
              <w:t>Además,</w:t>
            </w:r>
            <w:r w:rsidRPr="00F33DB6">
              <w:rPr>
                <w:sz w:val="18"/>
                <w:szCs w:val="18"/>
              </w:rPr>
              <w:t xml:space="preserve"> </w:t>
            </w:r>
            <w:r w:rsidRPr="00F33DB6">
              <w:rPr>
                <w:sz w:val="18"/>
                <w:szCs w:val="18"/>
              </w:rPr>
              <w:lastRenderedPageBreak/>
              <w:t>reconocerá la importancia de organización de la escuela y algunos rasgos fundamentales para su conducción y la toma de decisiones centrándose en la mejora de los aprendizajes de todos los NNA.</w:t>
            </w:r>
          </w:p>
        </w:tc>
        <w:tc>
          <w:tcPr>
            <w:tcW w:w="927" w:type="pct"/>
          </w:tcPr>
          <w:p w14:paraId="227A2DB5" w14:textId="17EECEC3" w:rsidR="002D7919" w:rsidRPr="00A646F9" w:rsidRDefault="002D7919" w:rsidP="002D7919">
            <w:pPr>
              <w:pStyle w:val="Default"/>
              <w:rPr>
                <w:lang w:val="es-MX"/>
              </w:rPr>
            </w:pPr>
          </w:p>
          <w:p w14:paraId="654C72EF" w14:textId="77777777" w:rsidR="002D7919" w:rsidRPr="00A646F9" w:rsidRDefault="002D7919" w:rsidP="002D7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E216C3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Gestión Educativa: Nuevos paradigmas y enfoques de la gestión educativa: </w:t>
            </w:r>
          </w:p>
          <w:p w14:paraId="44384003" w14:textId="7E4A5F93" w:rsidR="002D7919" w:rsidRPr="002D7919" w:rsidRDefault="002D7919" w:rsidP="002D7919">
            <w:pPr>
              <w:pStyle w:val="Default"/>
              <w:rPr>
                <w:lang w:val="es-MX"/>
              </w:rPr>
            </w:pPr>
          </w:p>
          <w:p w14:paraId="3CFC82F7" w14:textId="77777777" w:rsidR="002D7919" w:rsidRPr="002D7919" w:rsidRDefault="002D7919" w:rsidP="002D7919">
            <w:pPr>
              <w:pStyle w:val="Defaul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 </w:t>
            </w:r>
            <w:r w:rsidRPr="002D7919">
              <w:rPr>
                <w:rFonts w:ascii="Montserrat" w:hAnsi="Montserrat" w:cs="Montserrat"/>
                <w:sz w:val="20"/>
                <w:szCs w:val="20"/>
                <w:lang w:val="es-MX"/>
              </w:rPr>
              <w:t xml:space="preserve">Transición de la administración escolar tradicional a la gestión educativa estratégica. </w:t>
            </w:r>
          </w:p>
          <w:p w14:paraId="3E390955" w14:textId="77777777" w:rsidR="002D7919" w:rsidRPr="002D7919" w:rsidRDefault="002D7919" w:rsidP="002D7919">
            <w:pPr>
              <w:pStyle w:val="Defaul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 </w:t>
            </w:r>
            <w:r w:rsidRPr="002D7919">
              <w:rPr>
                <w:rFonts w:ascii="Montserrat" w:hAnsi="Montserrat" w:cs="Montserrat"/>
                <w:sz w:val="20"/>
                <w:szCs w:val="20"/>
                <w:lang w:val="es-MX"/>
              </w:rPr>
              <w:t xml:space="preserve">Tendencias Internacionales en organización y gestión de instituciones educativas: gestión Educativa contextual e incluyente y gestión escolar ante las propuestas de educación híbrida </w:t>
            </w:r>
          </w:p>
          <w:p w14:paraId="351540A0" w14:textId="456C8DE8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A16C864" w14:textId="77777777" w:rsidR="00BF79EA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  <w:p w14:paraId="39430308" w14:textId="77777777" w:rsidR="002D7919" w:rsidRDefault="002D7919" w:rsidP="00C35247">
            <w:pPr>
              <w:rPr>
                <w:rFonts w:cstheme="minorHAnsi"/>
                <w:sz w:val="18"/>
                <w:szCs w:val="18"/>
              </w:rPr>
            </w:pPr>
          </w:p>
          <w:p w14:paraId="164CEE48" w14:textId="1A36AAFE" w:rsidR="002D7919" w:rsidRPr="008C4294" w:rsidRDefault="002D7919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2CDCC3B3" w14:textId="77777777" w:rsidR="00BF79EA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B5D00A3" w14:textId="60DB7674" w:rsidR="002D7919" w:rsidRPr="008C4294" w:rsidRDefault="00DE4EC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09EE1DC6" w14:textId="2DB8EF4A" w:rsidR="00BF79EA" w:rsidRPr="008C4294" w:rsidRDefault="00DE4EC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12-16 </w:t>
            </w:r>
            <w:r w:rsidR="002D7919">
              <w:rPr>
                <w:rFonts w:cstheme="minorHAnsi"/>
                <w:sz w:val="18"/>
                <w:szCs w:val="18"/>
              </w:rPr>
              <w:t xml:space="preserve">sep. </w:t>
            </w:r>
          </w:p>
        </w:tc>
        <w:tc>
          <w:tcPr>
            <w:tcW w:w="202" w:type="pct"/>
          </w:tcPr>
          <w:p w14:paraId="0EF8DD05" w14:textId="72E4B32C" w:rsidR="00BF79EA" w:rsidRPr="008C4294" w:rsidRDefault="00DE4EC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 y 15</w:t>
            </w:r>
            <w:r w:rsidR="002D7919">
              <w:rPr>
                <w:rFonts w:cstheme="minorHAnsi"/>
                <w:sz w:val="18"/>
                <w:szCs w:val="18"/>
              </w:rPr>
              <w:t xml:space="preserve"> de sep.</w:t>
            </w:r>
          </w:p>
        </w:tc>
        <w:tc>
          <w:tcPr>
            <w:tcW w:w="456" w:type="pct"/>
          </w:tcPr>
          <w:p w14:paraId="63C52148" w14:textId="70162B62" w:rsidR="00BF79EA" w:rsidRPr="008C4294" w:rsidRDefault="002D7919" w:rsidP="00C3524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Gestión,paradigmas</w:t>
            </w:r>
            <w:proofErr w:type="gramEnd"/>
            <w:r>
              <w:rPr>
                <w:rFonts w:cstheme="minorHAnsi"/>
                <w:sz w:val="16"/>
                <w:szCs w:val="16"/>
              </w:rPr>
              <w:t>,educativa,estratégica,organización</w:t>
            </w:r>
            <w:r w:rsidR="00AF3BBD">
              <w:rPr>
                <w:rFonts w:cstheme="minorHAnsi"/>
                <w:sz w:val="16"/>
                <w:szCs w:val="16"/>
              </w:rPr>
              <w:t>,educación, híbrida.</w:t>
            </w:r>
          </w:p>
        </w:tc>
        <w:tc>
          <w:tcPr>
            <w:tcW w:w="1233" w:type="pct"/>
          </w:tcPr>
          <w:p w14:paraId="15D81D38" w14:textId="158AFAD9" w:rsidR="00BF79EA" w:rsidRPr="003B1859" w:rsidRDefault="00CC4918" w:rsidP="00C3524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B1859">
              <w:rPr>
                <w:sz w:val="18"/>
                <w:szCs w:val="18"/>
                <w:highlight w:val="yellow"/>
              </w:rPr>
              <w:t>Carro Martínez Norma (2018) Capítulo 6. Un acercamiento a cuestiones básicas de la gobernanza. Concepto polisémico y su relación con la educación: Autonomía de gestión/gobernanza en: Nava Avilés María Verónica (Coordinadora) (2018) Gestión escolar, liderazgo y gobernanza. Construcciones, deconstrucciones y retos en instituciones de educación obligatoria, Administración Federal de Servicios Educativos en el Distrito Federal Secretaría de Educación Pública, México.</w:t>
            </w:r>
          </w:p>
        </w:tc>
        <w:tc>
          <w:tcPr>
            <w:tcW w:w="787" w:type="pct"/>
          </w:tcPr>
          <w:p w14:paraId="26C3D272" w14:textId="77777777" w:rsidR="00BF79EA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  <w:p w14:paraId="10ED8155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19E9422B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14286D59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4F9B1777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2FA1072D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55CCAE9D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2D453937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401EAC6D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1CD3A191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0EBA2CDB" w14:textId="3EC6653E" w:rsidR="00CC4918" w:rsidRPr="008C4294" w:rsidRDefault="00CC4918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>https://gestioneducativa.ar/category/gestion/</w:t>
            </w:r>
          </w:p>
        </w:tc>
      </w:tr>
      <w:tr w:rsidR="008C4294" w:rsidRPr="008C4294" w14:paraId="3D6660E5" w14:textId="13D569B7" w:rsidTr="00A646F9">
        <w:trPr>
          <w:cantSplit/>
          <w:trHeight w:val="265"/>
        </w:trPr>
        <w:tc>
          <w:tcPr>
            <w:tcW w:w="317" w:type="pct"/>
            <w:vMerge/>
          </w:tcPr>
          <w:p w14:paraId="583E8FE3" w14:textId="77777777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31B2B728" w14:textId="77777777" w:rsidR="00BF79EA" w:rsidRPr="008C4294" w:rsidRDefault="00BF79EA" w:rsidP="00C35247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16913FC5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4"/>
                <w:szCs w:val="24"/>
              </w:rPr>
            </w:pPr>
          </w:p>
          <w:p w14:paraId="5D48312C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2D7919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Marcos legales y normativos internacionales y nacionales para la gestión educativa: lo real, lo posible, lo viable para la gestión educativa. </w:t>
            </w:r>
          </w:p>
          <w:p w14:paraId="7322D353" w14:textId="0E9BBF09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A120B85" w14:textId="3D37DF6A" w:rsidR="00BF79EA" w:rsidRPr="008C4294" w:rsidRDefault="00CC4918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4150A43D" w14:textId="7196F6C6" w:rsidR="00BF79EA" w:rsidRPr="008C4294" w:rsidRDefault="00DE4ECB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4DB99778" w14:textId="501DCBD1" w:rsidR="00BF79EA" w:rsidRPr="008C4294" w:rsidRDefault="00DE4ECB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19-23 de sep. </w:t>
            </w:r>
          </w:p>
        </w:tc>
        <w:tc>
          <w:tcPr>
            <w:tcW w:w="202" w:type="pct"/>
          </w:tcPr>
          <w:p w14:paraId="63F4B23B" w14:textId="0E50F72D" w:rsidR="00BF79EA" w:rsidRPr="008C4294" w:rsidRDefault="00727AE3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20,22 y 23 de sep. </w:t>
            </w:r>
          </w:p>
        </w:tc>
        <w:tc>
          <w:tcPr>
            <w:tcW w:w="456" w:type="pct"/>
          </w:tcPr>
          <w:p w14:paraId="73EE1EFF" w14:textId="05DD805C" w:rsidR="00BF79EA" w:rsidRPr="008C4294" w:rsidRDefault="00033512" w:rsidP="00C3524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Normas,legalidad</w:t>
            </w:r>
            <w:proofErr w:type="gramEnd"/>
            <w:r>
              <w:rPr>
                <w:rFonts w:cstheme="minorHAnsi"/>
                <w:sz w:val="16"/>
                <w:szCs w:val="16"/>
              </w:rPr>
              <w:t>,gestión,viable,marcoslegales,internacionales.</w:t>
            </w:r>
          </w:p>
        </w:tc>
        <w:tc>
          <w:tcPr>
            <w:tcW w:w="1233" w:type="pct"/>
          </w:tcPr>
          <w:p w14:paraId="6AC4A50B" w14:textId="448D2554" w:rsidR="00BF79EA" w:rsidRPr="008C4294" w:rsidRDefault="00033512" w:rsidP="00C35247">
            <w:pPr>
              <w:rPr>
                <w:rFonts w:cstheme="minorHAnsi"/>
                <w:sz w:val="16"/>
                <w:szCs w:val="16"/>
              </w:rPr>
            </w:pPr>
            <w:r w:rsidRPr="00033512">
              <w:rPr>
                <w:sz w:val="18"/>
                <w:szCs w:val="18"/>
              </w:rPr>
              <w:t>IIPE-UNESCO (2000). La gestión educativa estratégica, en Desafíos de la educación. Diez módulos destinados a los responsables de los procesos de transformación educativa. Buenos Aires: Instituto Inter- nacional de Planeamiento de la Educación/Ministerio de Educación de la Nación/Unesco. Disponible en https://educrea.cl/gestion-educativa-estrategica-diez-modulos-destinados-a-los-responsables-de-los-procesos-de-transformacion-educativa/</w:t>
            </w:r>
          </w:p>
        </w:tc>
        <w:tc>
          <w:tcPr>
            <w:tcW w:w="787" w:type="pct"/>
          </w:tcPr>
          <w:p w14:paraId="11DEA061" w14:textId="08D25D2B" w:rsidR="00BF79EA" w:rsidRPr="003B1859" w:rsidRDefault="00033512" w:rsidP="00C35247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B1859">
              <w:rPr>
                <w:sz w:val="20"/>
                <w:szCs w:val="20"/>
                <w:highlight w:val="yellow"/>
              </w:rPr>
              <w:t xml:space="preserve">DOF: 07/03/2014. </w:t>
            </w:r>
            <w:r w:rsidRPr="003B1859">
              <w:rPr>
                <w:i/>
                <w:iCs/>
                <w:sz w:val="20"/>
                <w:szCs w:val="20"/>
                <w:highlight w:val="yellow"/>
              </w:rPr>
              <w:t>Acuerdo número 717 por el que se emiten los lineamientos para formular los Programas de Gestión Escolar</w:t>
            </w:r>
            <w:r w:rsidRPr="003B1859">
              <w:rPr>
                <w:sz w:val="20"/>
                <w:szCs w:val="20"/>
                <w:highlight w:val="yellow"/>
              </w:rPr>
              <w:t>. SEGOB. Disponible en: http://www.dof.gob.mx/nota_detalle.php?codigo=5335233&amp;fecha=07/03/2014</w:t>
            </w:r>
          </w:p>
        </w:tc>
      </w:tr>
      <w:tr w:rsidR="008C4294" w:rsidRPr="008C4294" w14:paraId="12127F8C" w14:textId="688F845A" w:rsidTr="00A646F9">
        <w:trPr>
          <w:cantSplit/>
          <w:trHeight w:val="70"/>
        </w:trPr>
        <w:tc>
          <w:tcPr>
            <w:tcW w:w="317" w:type="pct"/>
            <w:vMerge/>
          </w:tcPr>
          <w:p w14:paraId="0F0366E4" w14:textId="4CC01319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37FB088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48DB728C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4"/>
                <w:szCs w:val="24"/>
              </w:rPr>
            </w:pPr>
          </w:p>
          <w:p w14:paraId="25C634A9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2D7919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La escuela como organización: Organización y conducción de la escuela: cultura institucional, liderazgo, resolución de conflictos, consolidación de equipos y comunidades comprometidas con los objetivos institucionales, negociación con actores y grupos, toma de decisiones. </w:t>
            </w:r>
          </w:p>
          <w:p w14:paraId="108EE364" w14:textId="4FC67366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0796257" w14:textId="6517215D" w:rsidR="00BF79EA" w:rsidRPr="008C4294" w:rsidRDefault="0026260E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54B62D66" w14:textId="5070BC3E" w:rsidR="00BF79EA" w:rsidRPr="008C4294" w:rsidRDefault="00DE4EC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6BF87320" w14:textId="2773D7F4" w:rsidR="00BF79EA" w:rsidRPr="008C4294" w:rsidRDefault="00727AE3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26-30 de sep.</w:t>
            </w:r>
            <w:r w:rsidR="0026260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2" w:type="pct"/>
          </w:tcPr>
          <w:p w14:paraId="356580FF" w14:textId="4A9F84F2" w:rsidR="00BF79EA" w:rsidRPr="008C4294" w:rsidRDefault="00727AE3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27, 29 y 30</w:t>
            </w:r>
            <w:r w:rsidR="0026260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6" w:type="pct"/>
          </w:tcPr>
          <w:p w14:paraId="469D2741" w14:textId="7FE2484B" w:rsidR="00BF79EA" w:rsidRPr="008C4294" w:rsidRDefault="0026260E" w:rsidP="00C3524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Organización,actoresescolares</w:t>
            </w:r>
            <w:proofErr w:type="gramEnd"/>
            <w:r>
              <w:rPr>
                <w:rFonts w:cstheme="minorHAnsi"/>
                <w:sz w:val="16"/>
                <w:szCs w:val="16"/>
              </w:rPr>
              <w:t>,retos,mejora,resolución,decisiones,liderazgo.</w:t>
            </w:r>
          </w:p>
        </w:tc>
        <w:tc>
          <w:tcPr>
            <w:tcW w:w="1233" w:type="pct"/>
          </w:tcPr>
          <w:p w14:paraId="1B7C2A00" w14:textId="77777777" w:rsidR="0026260E" w:rsidRPr="00C63F8B" w:rsidRDefault="0026260E" w:rsidP="0026260E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  <w:highlight w:val="yellow"/>
              </w:rPr>
            </w:pPr>
            <w:r w:rsidRPr="00C63F8B">
              <w:rPr>
                <w:rFonts w:ascii="Montserrat" w:hAnsi="Montserrat" w:cs="Montserrat"/>
                <w:color w:val="000000"/>
                <w:sz w:val="20"/>
                <w:szCs w:val="20"/>
                <w:highlight w:val="yellow"/>
              </w:rPr>
              <w:t xml:space="preserve">INEE. (s.f). Políticas para mejorar la gestión escolar en México. 4 </w:t>
            </w:r>
            <w:proofErr w:type="gramStart"/>
            <w:r w:rsidRPr="00C63F8B">
              <w:rPr>
                <w:rFonts w:ascii="Montserrat" w:hAnsi="Montserrat" w:cs="Montserrat"/>
                <w:i/>
                <w:iCs/>
                <w:color w:val="000000"/>
                <w:sz w:val="20"/>
                <w:szCs w:val="20"/>
                <w:highlight w:val="yellow"/>
              </w:rPr>
              <w:t>Unidad</w:t>
            </w:r>
            <w:proofErr w:type="gramEnd"/>
            <w:r w:rsidRPr="00C63F8B">
              <w:rPr>
                <w:rFonts w:ascii="Montserrat" w:hAnsi="Montserrat" w:cs="Montserrat"/>
                <w:i/>
                <w:iCs/>
                <w:color w:val="000000"/>
                <w:sz w:val="20"/>
                <w:szCs w:val="20"/>
                <w:highlight w:val="yellow"/>
              </w:rPr>
              <w:t xml:space="preserve"> de Normatividad y Política Educativa. </w:t>
            </w:r>
            <w:r w:rsidRPr="00C63F8B">
              <w:rPr>
                <w:rFonts w:ascii="Montserrat" w:hAnsi="Montserrat" w:cs="Montserrat"/>
                <w:color w:val="000000"/>
                <w:sz w:val="20"/>
                <w:szCs w:val="20"/>
                <w:highlight w:val="yellow"/>
              </w:rPr>
              <w:t xml:space="preserve">Disponible en: </w:t>
            </w:r>
          </w:p>
          <w:p w14:paraId="38B7577C" w14:textId="056402AB" w:rsidR="00BF79EA" w:rsidRPr="0026260E" w:rsidRDefault="0026260E" w:rsidP="0026260E">
            <w:pPr>
              <w:rPr>
                <w:rFonts w:cstheme="minorHAnsi"/>
                <w:sz w:val="16"/>
                <w:szCs w:val="16"/>
              </w:rPr>
            </w:pPr>
            <w:r w:rsidRPr="00C63F8B">
              <w:rPr>
                <w:rFonts w:ascii="Montserrat" w:hAnsi="Montserrat" w:cs="Montserrat"/>
                <w:color w:val="000000"/>
                <w:sz w:val="20"/>
                <w:szCs w:val="20"/>
                <w:highlight w:val="yellow"/>
              </w:rPr>
              <w:t>https://www.inee.edu.mx/wp-content/uploads/2018/12/documento4-gestion.pdf</w:t>
            </w:r>
          </w:p>
        </w:tc>
        <w:tc>
          <w:tcPr>
            <w:tcW w:w="787" w:type="pct"/>
          </w:tcPr>
          <w:p w14:paraId="464E1825" w14:textId="4F09DA19" w:rsidR="00033512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Estructura organizativa centro escolar </w:t>
            </w:r>
          </w:p>
          <w:p w14:paraId="4800C899" w14:textId="77777777" w:rsidR="0026260E" w:rsidRPr="00033512" w:rsidRDefault="0026260E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  <w:p w14:paraId="3D012AFE" w14:textId="77777777" w:rsidR="00033512" w:rsidRPr="00033512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https://youtu.be/oIi9Kc1CIeM </w:t>
            </w:r>
          </w:p>
          <w:p w14:paraId="0123A1FB" w14:textId="77777777" w:rsidR="0026260E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Gestión </w:t>
            </w:r>
          </w:p>
          <w:p w14:paraId="70DB2D29" w14:textId="64649136" w:rsidR="00033512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https://gestioneducativa.ar/category/gestion/ </w:t>
            </w:r>
          </w:p>
          <w:p w14:paraId="4F4D528B" w14:textId="77777777" w:rsidR="0026260E" w:rsidRPr="00033512" w:rsidRDefault="0026260E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  <w:p w14:paraId="23606466" w14:textId="77777777" w:rsidR="00033512" w:rsidRPr="00C63F8B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  <w:highlight w:val="yellow"/>
              </w:rPr>
            </w:pPr>
            <w:r w:rsidRPr="00C63F8B">
              <w:rPr>
                <w:rFonts w:ascii="Montserrat" w:hAnsi="Montserrat" w:cs="Montserrat"/>
                <w:color w:val="000000"/>
                <w:sz w:val="20"/>
                <w:szCs w:val="20"/>
                <w:highlight w:val="yellow"/>
              </w:rPr>
              <w:t xml:space="preserve">Historia de la gestión educativa en México. </w:t>
            </w:r>
          </w:p>
          <w:p w14:paraId="0085ADBB" w14:textId="43F8631D" w:rsidR="00BF79EA" w:rsidRPr="00033512" w:rsidRDefault="00033512" w:rsidP="00033512">
            <w:pPr>
              <w:rPr>
                <w:rFonts w:cstheme="minorHAnsi"/>
                <w:sz w:val="16"/>
                <w:szCs w:val="16"/>
              </w:rPr>
            </w:pPr>
            <w:r w:rsidRPr="00C63F8B">
              <w:rPr>
                <w:rFonts w:ascii="Montserrat" w:hAnsi="Montserrat" w:cs="Montserrat"/>
                <w:color w:val="000000"/>
                <w:sz w:val="20"/>
                <w:szCs w:val="20"/>
                <w:highlight w:val="yellow"/>
              </w:rPr>
              <w:t>https://www.youtube.com/watch?v=nGzuVG2OAQA</w:t>
            </w:r>
          </w:p>
        </w:tc>
      </w:tr>
      <w:tr w:rsidR="008C4294" w:rsidRPr="008C4294" w14:paraId="26176F8C" w14:textId="1CEF947C" w:rsidTr="00A646F9">
        <w:trPr>
          <w:cantSplit/>
        </w:trPr>
        <w:tc>
          <w:tcPr>
            <w:tcW w:w="317" w:type="pct"/>
            <w:vMerge/>
          </w:tcPr>
          <w:p w14:paraId="035A0DA9" w14:textId="66F6DCB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2AADBF8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6" w:type="pct"/>
            <w:gridSpan w:val="8"/>
          </w:tcPr>
          <w:p w14:paraId="3F54D716" w14:textId="7DCBD1C0" w:rsidR="00BF79EA" w:rsidRPr="00502FC7" w:rsidRDefault="001D6C96" w:rsidP="00C35247">
            <w:pPr>
              <w:rPr>
                <w:b/>
                <w:bCs/>
                <w:color w:val="000000"/>
                <w:sz w:val="20"/>
                <w:szCs w:val="27"/>
                <w:u w:val="single"/>
              </w:rPr>
            </w:pPr>
            <w:r w:rsidRPr="00502FC7">
              <w:rPr>
                <w:b/>
                <w:bCs/>
                <w:color w:val="000000"/>
                <w:sz w:val="20"/>
                <w:szCs w:val="27"/>
                <w:u w:val="single"/>
              </w:rPr>
              <w:t>Evidencia de aprendizaje para evaluación de la unidad</w:t>
            </w:r>
            <w:r w:rsidR="0026260E" w:rsidRPr="00502FC7">
              <w:rPr>
                <w:b/>
                <w:bCs/>
                <w:color w:val="000000"/>
                <w:sz w:val="20"/>
                <w:szCs w:val="27"/>
                <w:u w:val="single"/>
              </w:rPr>
              <w:t xml:space="preserve"> a cerca de </w:t>
            </w:r>
          </w:p>
          <w:p w14:paraId="56223BF7" w14:textId="2C00CC25" w:rsidR="0026260E" w:rsidRPr="001D6C96" w:rsidRDefault="0026260E" w:rsidP="00C35247">
            <w:pPr>
              <w:rPr>
                <w:rFonts w:cstheme="minorHAnsi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Un video breve al grupo, de máximo 5 minutos. (Genially, Prezzi video, Flipgrid, vídeo con su celular, Tik tok o de su preferencia) a cerca de </w:t>
            </w:r>
            <w:r w:rsidR="00502FC7">
              <w:rPr>
                <w:sz w:val="20"/>
                <w:szCs w:val="20"/>
              </w:rPr>
              <w:t>la reflexión sobre las acciones y conducción de una escuela, considerando los siguientes aspectos en su discurso reflexivo: la cultura escolar, la comunicación asertiva, el liderazgo, resolución de conflictos, consolidación de equipos, comunidades comprometidas con los objetivos institucionales, aprendizaje entre pares, retroalimentación oportuna al colectivo.</w:t>
            </w:r>
          </w:p>
        </w:tc>
      </w:tr>
      <w:tr w:rsidR="008C4294" w:rsidRPr="008C4294" w14:paraId="1B8846FE" w14:textId="228F742F" w:rsidTr="00A646F9">
        <w:trPr>
          <w:cantSplit/>
        </w:trPr>
        <w:tc>
          <w:tcPr>
            <w:tcW w:w="317" w:type="pct"/>
            <w:vMerge w:val="restart"/>
          </w:tcPr>
          <w:p w14:paraId="097CC820" w14:textId="39F93086" w:rsidR="00FA69F5" w:rsidRPr="00A646F9" w:rsidRDefault="00A646F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646F9">
              <w:rPr>
                <w:sz w:val="18"/>
                <w:szCs w:val="18"/>
              </w:rPr>
              <w:lastRenderedPageBreak/>
              <w:t>Unidad de aprendizaje II. Tipología, dimensiones, de la gestión educativa y las herramientas para mejorar la gestión: planeación estratégica y evaluación institucional</w:t>
            </w:r>
          </w:p>
        </w:tc>
        <w:tc>
          <w:tcPr>
            <w:tcW w:w="517" w:type="pct"/>
            <w:vMerge w:val="restart"/>
          </w:tcPr>
          <w:p w14:paraId="531BC125" w14:textId="3B4ED071" w:rsidR="00FA69F5" w:rsidRPr="008C4294" w:rsidRDefault="00A646F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En esta unidad se busca que los estudiantes caractericen la tipología y las dimensiones de la gestión educativa para que reconozcan sus propósitos, organización, planeación y evaluación. Así mismo reconocerán al diagnóstico institucional y áulico como instrumentos fundamentales para identificar problemáticas situadas y así diseñar alternativas de mejora centradas en los niños y niñas.</w:t>
            </w:r>
          </w:p>
        </w:tc>
        <w:tc>
          <w:tcPr>
            <w:tcW w:w="927" w:type="pct"/>
          </w:tcPr>
          <w:p w14:paraId="7E98F593" w14:textId="44AAD90B" w:rsidR="00FA69F5" w:rsidRDefault="00A646F9" w:rsidP="00A646F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Tipologías:</w:t>
            </w:r>
          </w:p>
          <w:p w14:paraId="2D03C63C" w14:textId="77777777" w:rsidR="00A646F9" w:rsidRDefault="00A646F9" w:rsidP="00A646F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Gestión educativa estratégica.</w:t>
            </w:r>
          </w:p>
          <w:p w14:paraId="27A42D5B" w14:textId="77777777" w:rsidR="00A646F9" w:rsidRDefault="00A646F9" w:rsidP="00A646F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Gestión institucional.</w:t>
            </w:r>
          </w:p>
          <w:p w14:paraId="7DE5A5F4" w14:textId="77777777" w:rsidR="00A646F9" w:rsidRDefault="00A646F9" w:rsidP="00A646F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Gestión escolar</w:t>
            </w:r>
          </w:p>
          <w:p w14:paraId="131621A2" w14:textId="5B76759B" w:rsidR="00A646F9" w:rsidRPr="00A646F9" w:rsidRDefault="00A646F9" w:rsidP="00A646F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Gestión pedagógica.</w:t>
            </w:r>
          </w:p>
        </w:tc>
        <w:tc>
          <w:tcPr>
            <w:tcW w:w="186" w:type="pct"/>
          </w:tcPr>
          <w:p w14:paraId="607C5D80" w14:textId="61BC6226" w:rsidR="00FA69F5" w:rsidRPr="008C4294" w:rsidRDefault="00A646F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53150B8F" w14:textId="18099603" w:rsidR="00FA69F5" w:rsidRPr="008C4294" w:rsidRDefault="003662E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69694044" w14:textId="4AD9587F" w:rsidR="00FA69F5" w:rsidRPr="008C4294" w:rsidRDefault="003011B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2C42D2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 xml:space="preserve"> al </w:t>
            </w:r>
            <w:r w:rsidR="002C42D2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 xml:space="preserve"> de oct.</w:t>
            </w:r>
          </w:p>
        </w:tc>
        <w:tc>
          <w:tcPr>
            <w:tcW w:w="202" w:type="pct"/>
          </w:tcPr>
          <w:p w14:paraId="05D3704F" w14:textId="039D0D14" w:rsidR="00FA69F5" w:rsidRPr="008C4294" w:rsidRDefault="003011B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3011B0">
              <w:rPr>
                <w:rFonts w:cstheme="minorHAnsi"/>
                <w:sz w:val="14"/>
                <w:szCs w:val="14"/>
              </w:rPr>
              <w:t xml:space="preserve">14 </w:t>
            </w:r>
            <w:r w:rsidR="00447D2B">
              <w:rPr>
                <w:rFonts w:cstheme="minorHAnsi"/>
                <w:sz w:val="14"/>
                <w:szCs w:val="14"/>
              </w:rPr>
              <w:t>,</w:t>
            </w:r>
            <w:proofErr w:type="gramEnd"/>
            <w:r w:rsidR="00447D2B">
              <w:rPr>
                <w:rFonts w:cstheme="minorHAnsi"/>
                <w:sz w:val="14"/>
                <w:szCs w:val="14"/>
              </w:rPr>
              <w:t xml:space="preserve"> 20 y 21</w:t>
            </w:r>
            <w:r w:rsidRPr="003011B0">
              <w:rPr>
                <w:rFonts w:cstheme="minorHAnsi"/>
                <w:sz w:val="14"/>
                <w:szCs w:val="14"/>
              </w:rPr>
              <w:t xml:space="preserve"> de octubre</w:t>
            </w:r>
          </w:p>
        </w:tc>
        <w:tc>
          <w:tcPr>
            <w:tcW w:w="456" w:type="pct"/>
          </w:tcPr>
          <w:p w14:paraId="2541A326" w14:textId="1FFF7A71" w:rsidR="00FA69F5" w:rsidRPr="008C4294" w:rsidRDefault="003011B0" w:rsidP="00DF2DD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Gestión,educativa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,estratégica,institucional,escolar,pedagógica.</w:t>
            </w:r>
          </w:p>
        </w:tc>
        <w:tc>
          <w:tcPr>
            <w:tcW w:w="1233" w:type="pct"/>
          </w:tcPr>
          <w:p w14:paraId="2184E395" w14:textId="4264C769" w:rsidR="003011B0" w:rsidRPr="003011B0" w:rsidRDefault="003011B0" w:rsidP="003011B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3011B0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Programa de escuelas de calidad “Modelo de gestión”. </w:t>
            </w:r>
          </w:p>
          <w:p w14:paraId="37EB36E1" w14:textId="021B91B7" w:rsidR="00FA69F5" w:rsidRPr="003011B0" w:rsidRDefault="003011B0" w:rsidP="003011B0">
            <w:pPr>
              <w:rPr>
                <w:rFonts w:ascii="Arial" w:hAnsi="Arial" w:cs="Arial"/>
                <w:sz w:val="16"/>
                <w:szCs w:val="16"/>
              </w:rPr>
            </w:pPr>
            <w:r w:rsidRPr="003011B0">
              <w:rPr>
                <w:rFonts w:ascii="Montserrat" w:hAnsi="Montserrat" w:cs="Montserrat"/>
                <w:color w:val="000000"/>
                <w:sz w:val="20"/>
                <w:szCs w:val="20"/>
              </w:rPr>
              <w:t>http://www.seslp.gob.mx/pdf/taller2011-2012/uno/DOCUMENTOS/9915-Modelo%20de%20Gestion%20EducativaFINAL.pdf</w:t>
            </w:r>
          </w:p>
        </w:tc>
        <w:tc>
          <w:tcPr>
            <w:tcW w:w="787" w:type="pct"/>
          </w:tcPr>
          <w:p w14:paraId="4D5AFBC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377C6DF" w14:textId="7A74029A" w:rsidTr="00A646F9">
        <w:trPr>
          <w:cantSplit/>
        </w:trPr>
        <w:tc>
          <w:tcPr>
            <w:tcW w:w="317" w:type="pct"/>
            <w:vMerge/>
          </w:tcPr>
          <w:p w14:paraId="12AA4EEE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6AB542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21B3FEE6" w14:textId="77777777" w:rsidR="00FA69F5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Dimensiones de la gestión educativa: categorías para el análisis de la realidad educativa.</w:t>
            </w:r>
          </w:p>
          <w:p w14:paraId="747280E5" w14:textId="77777777" w:rsidR="007A626E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-Administrativa</w:t>
            </w:r>
          </w:p>
          <w:p w14:paraId="2B969A98" w14:textId="77777777" w:rsidR="007A626E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-Pedagógica-didácticas pedagógica curricular</w:t>
            </w:r>
          </w:p>
          <w:p w14:paraId="50D1A55F" w14:textId="77777777" w:rsidR="007A626E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-Político-educativas</w:t>
            </w:r>
          </w:p>
          <w:p w14:paraId="74E0C419" w14:textId="77777777" w:rsidR="007A626E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-Socio-comunitarias de participación social</w:t>
            </w:r>
          </w:p>
          <w:p w14:paraId="2AA2CB8A" w14:textId="118A1736" w:rsidR="007A626E" w:rsidRPr="008C4294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-Organizativa</w:t>
            </w:r>
          </w:p>
        </w:tc>
        <w:tc>
          <w:tcPr>
            <w:tcW w:w="186" w:type="pct"/>
          </w:tcPr>
          <w:p w14:paraId="4CD05D03" w14:textId="6C859197" w:rsidR="00FA69F5" w:rsidRPr="008C4294" w:rsidRDefault="007A626E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4267471F" w14:textId="4869FE90" w:rsidR="00FA69F5" w:rsidRPr="008C4294" w:rsidRDefault="003662E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0F204FE0" w14:textId="0ECDA360" w:rsidR="007D09F0" w:rsidRPr="008C4294" w:rsidRDefault="00447D2B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24-28</w:t>
            </w:r>
            <w:r w:rsidR="007D09F0">
              <w:rPr>
                <w:rFonts w:cstheme="minorHAnsi"/>
                <w:sz w:val="18"/>
                <w:szCs w:val="18"/>
              </w:rPr>
              <w:t xml:space="preserve"> oct.</w:t>
            </w:r>
            <w:r w:rsidR="00E83C00">
              <w:rPr>
                <w:rFonts w:cstheme="minorHAnsi"/>
                <w:sz w:val="18"/>
                <w:szCs w:val="18"/>
              </w:rPr>
              <w:t xml:space="preserve">, 31 al 04 de nov. </w:t>
            </w:r>
          </w:p>
        </w:tc>
        <w:tc>
          <w:tcPr>
            <w:tcW w:w="202" w:type="pct"/>
          </w:tcPr>
          <w:p w14:paraId="65A4EF28" w14:textId="24CB6027" w:rsidR="007D09F0" w:rsidRPr="008C4294" w:rsidRDefault="00447D2B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25 y 27 </w:t>
            </w:r>
            <w:r w:rsidR="007A626E">
              <w:rPr>
                <w:rFonts w:cstheme="minorHAnsi"/>
                <w:sz w:val="18"/>
                <w:szCs w:val="18"/>
              </w:rPr>
              <w:t xml:space="preserve">de </w:t>
            </w:r>
            <w:r w:rsidR="007D09F0">
              <w:rPr>
                <w:rFonts w:cstheme="minorHAnsi"/>
                <w:sz w:val="18"/>
                <w:szCs w:val="18"/>
              </w:rPr>
              <w:t>oct</w:t>
            </w:r>
            <w:r w:rsidR="00E83C00">
              <w:rPr>
                <w:rFonts w:cstheme="minorHAnsi"/>
                <w:sz w:val="18"/>
                <w:szCs w:val="18"/>
              </w:rPr>
              <w:t xml:space="preserve">, </w:t>
            </w:r>
            <w:proofErr w:type="gramStart"/>
            <w:r w:rsidR="00E83C00">
              <w:rPr>
                <w:rFonts w:cstheme="minorHAnsi"/>
                <w:sz w:val="18"/>
                <w:szCs w:val="18"/>
              </w:rPr>
              <w:t>1 ,</w:t>
            </w:r>
            <w:proofErr w:type="gramEnd"/>
            <w:r w:rsidR="00E83C00">
              <w:rPr>
                <w:rFonts w:cstheme="minorHAnsi"/>
                <w:sz w:val="18"/>
                <w:szCs w:val="18"/>
              </w:rPr>
              <w:t xml:space="preserve"> 3 y 4 de nov. </w:t>
            </w:r>
          </w:p>
        </w:tc>
        <w:tc>
          <w:tcPr>
            <w:tcW w:w="456" w:type="pct"/>
          </w:tcPr>
          <w:p w14:paraId="03B1CDA3" w14:textId="60620D71" w:rsidR="00FA69F5" w:rsidRPr="008C4294" w:rsidRDefault="007A626E" w:rsidP="00DF2DD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Dimensiones,gestión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,educativa,análisis,administrativa,pedagógica-didácticas,político-educativas,socio-comunitarias,participación,social, organizativa.</w:t>
            </w:r>
          </w:p>
        </w:tc>
        <w:tc>
          <w:tcPr>
            <w:tcW w:w="1233" w:type="pct"/>
          </w:tcPr>
          <w:p w14:paraId="41DE0500" w14:textId="77777777" w:rsidR="00213FDA" w:rsidRPr="00213FDA" w:rsidRDefault="00213FDA" w:rsidP="00213FDA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213FDA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Sendón, M. A. (2007). Diferentes dimensiones de la autonomía de la gestión </w:t>
            </w:r>
          </w:p>
          <w:p w14:paraId="3936BF72" w14:textId="7D72A178" w:rsidR="00FA69F5" w:rsidRPr="00213FDA" w:rsidRDefault="00213FDA" w:rsidP="00213FDA">
            <w:pPr>
              <w:rPr>
                <w:rFonts w:ascii="Arial" w:hAnsi="Arial" w:cs="Arial"/>
                <w:sz w:val="16"/>
                <w:szCs w:val="16"/>
              </w:rPr>
            </w:pPr>
            <w:r w:rsidRPr="00213FDA">
              <w:rPr>
                <w:rFonts w:ascii="Montserrat" w:hAnsi="Montserrat" w:cs="Montserrat"/>
                <w:color w:val="000000"/>
                <w:sz w:val="20"/>
                <w:szCs w:val="20"/>
              </w:rPr>
              <w:t>escolar. Disponible en: https://dialnet.unirioja.es/servlet/articulo?codigo=2477</w:t>
            </w:r>
          </w:p>
        </w:tc>
        <w:tc>
          <w:tcPr>
            <w:tcW w:w="787" w:type="pct"/>
          </w:tcPr>
          <w:p w14:paraId="752D05D7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C844788" w14:textId="19EC229B" w:rsidTr="00A646F9">
        <w:trPr>
          <w:cantSplit/>
        </w:trPr>
        <w:tc>
          <w:tcPr>
            <w:tcW w:w="317" w:type="pct"/>
            <w:vMerge/>
          </w:tcPr>
          <w:p w14:paraId="070F61CD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237524C2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3FB029AF" w14:textId="77777777" w:rsidR="00FA69F5" w:rsidRDefault="00213FDA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Planeación estratégica y Evaluación Institucional.</w:t>
            </w:r>
          </w:p>
          <w:p w14:paraId="5CD3ECA7" w14:textId="77777777" w:rsidR="00213FDA" w:rsidRDefault="00213FDA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-El diagnóstico institucional</w:t>
            </w:r>
          </w:p>
          <w:p w14:paraId="1DFA1CAF" w14:textId="77777777" w:rsidR="00213FDA" w:rsidRDefault="00213FDA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-Identificación de alternativas de mejora de aprendizaje</w:t>
            </w:r>
          </w:p>
          <w:p w14:paraId="7427A6D9" w14:textId="4944750C" w:rsidR="00213FDA" w:rsidRPr="008C4294" w:rsidRDefault="00213FDA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-El proceso técnico de la evaluación.</w:t>
            </w:r>
          </w:p>
        </w:tc>
        <w:tc>
          <w:tcPr>
            <w:tcW w:w="186" w:type="pct"/>
          </w:tcPr>
          <w:p w14:paraId="7AFEF5C8" w14:textId="2454D620" w:rsidR="00FA69F5" w:rsidRPr="008C4294" w:rsidRDefault="003662E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3038C792" w14:textId="01956278" w:rsidR="00FA69F5" w:rsidRPr="008C4294" w:rsidRDefault="003662E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31E38532" w14:textId="1218DC52" w:rsidR="00FA69F5" w:rsidRDefault="00E83C00" w:rsidP="00DF2DD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7D09F0">
              <w:rPr>
                <w:sz w:val="20"/>
              </w:rPr>
              <w:t xml:space="preserve"> al </w:t>
            </w:r>
            <w:r>
              <w:rPr>
                <w:sz w:val="20"/>
              </w:rPr>
              <w:t>11</w:t>
            </w:r>
            <w:r w:rsidR="007D09F0">
              <w:rPr>
                <w:sz w:val="20"/>
              </w:rPr>
              <w:t xml:space="preserve"> nov.</w:t>
            </w:r>
            <w:r>
              <w:rPr>
                <w:sz w:val="20"/>
              </w:rPr>
              <w:t xml:space="preserve">, 14-18 </w:t>
            </w:r>
            <w:r w:rsidR="007D09F0">
              <w:rPr>
                <w:sz w:val="20"/>
              </w:rPr>
              <w:t xml:space="preserve">nov. </w:t>
            </w:r>
          </w:p>
          <w:p w14:paraId="53198248" w14:textId="77777777" w:rsidR="007D09F0" w:rsidRDefault="007D09F0" w:rsidP="00DF2DD7">
            <w:pPr>
              <w:spacing w:line="276" w:lineRule="auto"/>
              <w:rPr>
                <w:sz w:val="18"/>
              </w:rPr>
            </w:pPr>
          </w:p>
          <w:p w14:paraId="068F21B1" w14:textId="77777777" w:rsidR="007D09F0" w:rsidRDefault="007D09F0" w:rsidP="00DF2DD7">
            <w:pPr>
              <w:spacing w:line="276" w:lineRule="auto"/>
              <w:rPr>
                <w:sz w:val="18"/>
              </w:rPr>
            </w:pPr>
          </w:p>
          <w:p w14:paraId="3AD22B26" w14:textId="77777777" w:rsidR="007D09F0" w:rsidRDefault="007D09F0" w:rsidP="00DF2DD7">
            <w:pPr>
              <w:spacing w:line="276" w:lineRule="auto"/>
              <w:rPr>
                <w:sz w:val="18"/>
              </w:rPr>
            </w:pPr>
          </w:p>
          <w:p w14:paraId="0D4D05E2" w14:textId="3C0C3175" w:rsidR="007D09F0" w:rsidRPr="008C4294" w:rsidRDefault="007D09F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EE75A69" w14:textId="147A0563" w:rsidR="00FA69F5" w:rsidRPr="008C4294" w:rsidRDefault="00E83C0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8,10,</w:t>
            </w:r>
            <w:r w:rsidR="007D09F0">
              <w:rPr>
                <w:rFonts w:cstheme="minorHAnsi"/>
                <w:sz w:val="18"/>
                <w:szCs w:val="18"/>
              </w:rPr>
              <w:t xml:space="preserve"> y </w:t>
            </w:r>
            <w:r>
              <w:rPr>
                <w:rFonts w:cstheme="minorHAnsi"/>
                <w:sz w:val="18"/>
                <w:szCs w:val="18"/>
              </w:rPr>
              <w:t xml:space="preserve">11, 15,17, y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18 </w:t>
            </w:r>
            <w:r w:rsidR="007D09F0">
              <w:rPr>
                <w:rFonts w:cstheme="minorHAnsi"/>
                <w:sz w:val="18"/>
                <w:szCs w:val="18"/>
              </w:rPr>
              <w:t xml:space="preserve"> de</w:t>
            </w:r>
            <w:proofErr w:type="gramEnd"/>
            <w:r w:rsidR="007D09F0">
              <w:rPr>
                <w:rFonts w:cstheme="minorHAnsi"/>
                <w:sz w:val="18"/>
                <w:szCs w:val="18"/>
              </w:rPr>
              <w:t xml:space="preserve"> nov.</w:t>
            </w:r>
          </w:p>
        </w:tc>
        <w:tc>
          <w:tcPr>
            <w:tcW w:w="456" w:type="pct"/>
          </w:tcPr>
          <w:p w14:paraId="16518441" w14:textId="41EA2564" w:rsidR="00FA69F5" w:rsidRPr="008C4294" w:rsidRDefault="00213FDA" w:rsidP="00DF2DD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Planeación,evaluación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,institucional,estratégica,diagnóstico,mejora,aprendizaje,proceso,alternativa.</w:t>
            </w:r>
          </w:p>
        </w:tc>
        <w:tc>
          <w:tcPr>
            <w:tcW w:w="1233" w:type="pct"/>
          </w:tcPr>
          <w:p w14:paraId="48AF256A" w14:textId="6DFDB3D1" w:rsidR="00FA69F5" w:rsidRDefault="00007371" w:rsidP="00DF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Díaz, Vanesa. (2020). Planeación Institucional. Dgo. Video disponible en: </w:t>
            </w:r>
            <w:hyperlink r:id="rId8" w:history="1">
              <w:r w:rsidR="00BC65CF" w:rsidRPr="00491B05">
                <w:rPr>
                  <w:rStyle w:val="Hipervnculo"/>
                  <w:sz w:val="20"/>
                  <w:szCs w:val="20"/>
                </w:rPr>
                <w:t>https://youtu.be/t7L85iPfBpg</w:t>
              </w:r>
            </w:hyperlink>
          </w:p>
          <w:p w14:paraId="42883191" w14:textId="77777777" w:rsidR="00BC65CF" w:rsidRDefault="00BC65CF" w:rsidP="00DF2DD7">
            <w:pPr>
              <w:rPr>
                <w:sz w:val="20"/>
                <w:szCs w:val="20"/>
              </w:rPr>
            </w:pPr>
          </w:p>
          <w:p w14:paraId="3AD1C2EE" w14:textId="38E84ABE" w:rsidR="00BC65CF" w:rsidRPr="008C4294" w:rsidRDefault="00BC65CF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7B4FAE6" w14:textId="09025321" w:rsidR="00FA69F5" w:rsidRPr="008C4294" w:rsidRDefault="00BC65CF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Qué es una evaluación institucional, video disponible en: </w:t>
            </w:r>
            <w:hyperlink r:id="rId9" w:history="1">
              <w:r w:rsidRPr="00491B05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https://www.youtube.com/watch?v=upnTlxTMTWs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4294" w:rsidRPr="008C4294" w14:paraId="695A9C06" w14:textId="5001421A" w:rsidTr="00A646F9">
        <w:trPr>
          <w:cantSplit/>
        </w:trPr>
        <w:tc>
          <w:tcPr>
            <w:tcW w:w="317" w:type="pct"/>
            <w:vMerge/>
          </w:tcPr>
          <w:p w14:paraId="79B10AC6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021B420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6" w:type="pct"/>
            <w:gridSpan w:val="8"/>
          </w:tcPr>
          <w:p w14:paraId="6F960434" w14:textId="77777777" w:rsidR="00FA69F5" w:rsidRDefault="001D6C96" w:rsidP="00DF2DD7">
            <w:pPr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  <w:p w14:paraId="4BD0403D" w14:textId="0FF2644D" w:rsidR="00BC65CF" w:rsidRPr="008C4294" w:rsidRDefault="00BC65CF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Fold</w:t>
            </w:r>
            <w:r w:rsidR="00DE4ECB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able con la vinculación de la planeación estratégica y la evaluación institucional.</w:t>
            </w:r>
          </w:p>
        </w:tc>
      </w:tr>
      <w:tr w:rsidR="007D09F0" w:rsidRPr="008C4294" w14:paraId="42E86B5F" w14:textId="77777777" w:rsidTr="00A646F9">
        <w:trPr>
          <w:cantSplit/>
        </w:trPr>
        <w:tc>
          <w:tcPr>
            <w:tcW w:w="317" w:type="pct"/>
            <w:vMerge w:val="restart"/>
          </w:tcPr>
          <w:p w14:paraId="3EB397F4" w14:textId="11A1817C" w:rsidR="007D09F0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2A0E6EDE" w14:textId="6E01652E" w:rsidR="007D09F0" w:rsidRPr="007D09F0" w:rsidRDefault="007D09F0" w:rsidP="007D09F0">
            <w:pPr>
              <w:rPr>
                <w:rFonts w:cstheme="minorHAnsi"/>
                <w:sz w:val="18"/>
                <w:szCs w:val="18"/>
              </w:rPr>
            </w:pPr>
            <w:r w:rsidRPr="007D09F0">
              <w:rPr>
                <w:sz w:val="20"/>
                <w:szCs w:val="20"/>
              </w:rPr>
              <w:t>Unidad de Aprendizaje III. Diseño de Programas de gestión educativa centrado en el logro del aprendizaje de todos los niños y niñas.</w:t>
            </w:r>
          </w:p>
          <w:p w14:paraId="1029E4BE" w14:textId="77777777" w:rsidR="007D09F0" w:rsidRPr="00225DE2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51A6AB38" w14:textId="77777777" w:rsidR="007D09F0" w:rsidRPr="00225DE2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7BF1321B" w14:textId="1808DCC1" w:rsidR="007D09F0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5412457B" w14:textId="77777777" w:rsidR="007D09F0" w:rsidRPr="005C2101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27099269" w14:textId="354285C2" w:rsidR="007D09F0" w:rsidRPr="005C2101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14:paraId="15951BAB" w14:textId="6E56062C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En este espacio curricular se pretende que los estudiantes recuperen el proyecto educativo vigente de la escuela de prácticas, para identificar las prioridades educativas, objetivos, metas, acciones, recursos, tiempos, implementación y rendición de cuentas, con la finalidad de que diseñen una propuesta situada de un proyecto de gestión educativa que le abone a su trabajo de titulación.</w:t>
            </w:r>
          </w:p>
        </w:tc>
        <w:tc>
          <w:tcPr>
            <w:tcW w:w="927" w:type="pct"/>
          </w:tcPr>
          <w:p w14:paraId="296844D2" w14:textId="77777777" w:rsidR="007D09F0" w:rsidRPr="008D66BA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4"/>
                <w:szCs w:val="24"/>
              </w:rPr>
            </w:pPr>
          </w:p>
          <w:p w14:paraId="2024F559" w14:textId="02165284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7D09F0">
              <w:rPr>
                <w:rFonts w:ascii="Montserrat" w:hAnsi="Montserrat" w:cs="Montserrat"/>
                <w:color w:val="000000"/>
                <w:sz w:val="20"/>
                <w:szCs w:val="20"/>
              </w:rPr>
              <w:t>Diseño de programa de gestión educativa para el logro de los aprendizajes de todos los NNA</w:t>
            </w: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.</w:t>
            </w:r>
          </w:p>
          <w:p w14:paraId="2D684EDF" w14:textId="7D1DC64A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-Con base en el diagnóstico:</w:t>
            </w:r>
          </w:p>
          <w:p w14:paraId="3F3C1D5C" w14:textId="5964887D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*Prioridades educativas</w:t>
            </w:r>
          </w:p>
          <w:p w14:paraId="7A4D12A5" w14:textId="003F1988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*Objetivos</w:t>
            </w:r>
          </w:p>
          <w:p w14:paraId="347E201B" w14:textId="25FA67A0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*Metas</w:t>
            </w:r>
          </w:p>
          <w:p w14:paraId="126632DD" w14:textId="31907F82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-Programación de las actividades y establecimientos de compromisos</w:t>
            </w:r>
          </w:p>
          <w:p w14:paraId="0F786689" w14:textId="61D9FE2B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*Acciones</w:t>
            </w:r>
          </w:p>
          <w:p w14:paraId="02F89CEE" w14:textId="1CF4CCAA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*Recursos</w:t>
            </w:r>
          </w:p>
          <w:p w14:paraId="765C5F1C" w14:textId="40DED187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*Tiempos</w:t>
            </w:r>
          </w:p>
          <w:p w14:paraId="3F18FA04" w14:textId="1528D941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-Estrategias de seguimiento y evaluación</w:t>
            </w:r>
          </w:p>
          <w:p w14:paraId="5B234543" w14:textId="38DB56A7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*Implementación</w:t>
            </w:r>
          </w:p>
          <w:p w14:paraId="51981F8E" w14:textId="38A804E5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*Rendición de cuentas.</w:t>
            </w:r>
          </w:p>
          <w:p w14:paraId="05A85610" w14:textId="77777777" w:rsidR="007D09F0" w:rsidRP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  <w:p w14:paraId="0AD94CAD" w14:textId="0EEE5843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D5F44F1" w14:textId="66BBEFAE" w:rsidR="007D09F0" w:rsidRPr="008C4294" w:rsidRDefault="00E83C00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5AE49EF3" w14:textId="2ADC3695" w:rsidR="007D09F0" w:rsidRPr="008C4294" w:rsidRDefault="00E83C00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0FB2C279" w14:textId="08D980A6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</w:rPr>
              <w:t>1</w:t>
            </w:r>
            <w:r w:rsidR="008D2FB7">
              <w:rPr>
                <w:sz w:val="20"/>
              </w:rPr>
              <w:t xml:space="preserve">2 </w:t>
            </w:r>
            <w:r>
              <w:rPr>
                <w:sz w:val="20"/>
              </w:rPr>
              <w:t>al</w:t>
            </w:r>
            <w:r w:rsidR="008D2FB7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D2FB7">
              <w:rPr>
                <w:sz w:val="20"/>
              </w:rPr>
              <w:t>6</w:t>
            </w:r>
            <w:r>
              <w:rPr>
                <w:sz w:val="20"/>
              </w:rPr>
              <w:t xml:space="preserve"> diciembre/ </w:t>
            </w:r>
            <w:r w:rsidR="008D2FB7">
              <w:rPr>
                <w:sz w:val="20"/>
              </w:rPr>
              <w:t>9</w:t>
            </w:r>
            <w:r>
              <w:rPr>
                <w:sz w:val="20"/>
              </w:rPr>
              <w:t xml:space="preserve"> al </w:t>
            </w:r>
            <w:r w:rsidR="008D2FB7">
              <w:rPr>
                <w:sz w:val="20"/>
              </w:rPr>
              <w:t>13</w:t>
            </w:r>
            <w:r>
              <w:rPr>
                <w:sz w:val="20"/>
              </w:rPr>
              <w:t xml:space="preserve"> de ene</w:t>
            </w:r>
            <w:r w:rsidR="008D2FB7">
              <w:rPr>
                <w:sz w:val="20"/>
              </w:rPr>
              <w:t>, 16-20 enero.</w:t>
            </w:r>
          </w:p>
        </w:tc>
        <w:tc>
          <w:tcPr>
            <w:tcW w:w="202" w:type="pct"/>
          </w:tcPr>
          <w:p w14:paraId="57DB488A" w14:textId="5514968E" w:rsidR="007D09F0" w:rsidRPr="008C4294" w:rsidRDefault="008D2FB7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13, 15,16 de </w:t>
            </w:r>
            <w:proofErr w:type="gramStart"/>
            <w:r>
              <w:rPr>
                <w:rFonts w:cstheme="minorHAnsi"/>
                <w:sz w:val="18"/>
                <w:szCs w:val="18"/>
              </w:rPr>
              <w:t>dic. ,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10,12,13,17,19 y 20 de enero. </w:t>
            </w:r>
          </w:p>
        </w:tc>
        <w:tc>
          <w:tcPr>
            <w:tcW w:w="456" w:type="pct"/>
          </w:tcPr>
          <w:p w14:paraId="127AB2E6" w14:textId="02E14A15" w:rsidR="007D09F0" w:rsidRPr="008C4294" w:rsidRDefault="007D09F0" w:rsidP="007D09F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PEMC,programa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,mejor,escolar,continua,objetivos,metas,acciones,recursos,tiempos,evaluación,seguimiento.</w:t>
            </w:r>
          </w:p>
        </w:tc>
        <w:tc>
          <w:tcPr>
            <w:tcW w:w="1233" w:type="pct"/>
          </w:tcPr>
          <w:p w14:paraId="082DD017" w14:textId="4B7755A6" w:rsidR="007D09F0" w:rsidRPr="008C4294" w:rsidRDefault="001847CC" w:rsidP="007D09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SEP. (2019). Orientaciones Para Elaborar El Programa Escolar De Mejora Continua. México. Disponible en: https://educacionbasica.sep.gob.mx/multimedia/RSC/BASICA/Documento/201908/201908-RSC-jMPl5xCRGJ-OrientacionesPEMCOK.pdf</w:t>
            </w:r>
          </w:p>
        </w:tc>
        <w:tc>
          <w:tcPr>
            <w:tcW w:w="787" w:type="pct"/>
          </w:tcPr>
          <w:p w14:paraId="6094AE1D" w14:textId="77777777" w:rsidR="007D09F0" w:rsidRPr="008C4294" w:rsidRDefault="007D09F0" w:rsidP="007D09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9F0" w:rsidRPr="008C4294" w14:paraId="1C15344C" w14:textId="130D45BE" w:rsidTr="00A646F9">
        <w:trPr>
          <w:cantSplit/>
        </w:trPr>
        <w:tc>
          <w:tcPr>
            <w:tcW w:w="317" w:type="pct"/>
            <w:vMerge/>
            <w:vAlign w:val="center"/>
          </w:tcPr>
          <w:p w14:paraId="3465A413" w14:textId="77777777" w:rsidR="007D09F0" w:rsidRPr="008C4294" w:rsidRDefault="007D09F0" w:rsidP="007D09F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7977A4AD" w14:textId="77777777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6" w:type="pct"/>
            <w:gridSpan w:val="8"/>
          </w:tcPr>
          <w:p w14:paraId="1367EF7E" w14:textId="77777777" w:rsidR="007D09F0" w:rsidRDefault="007D09F0" w:rsidP="007D09F0">
            <w:pPr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  <w:p w14:paraId="6BFB5938" w14:textId="597DD593" w:rsidR="00F64711" w:rsidRPr="008C4294" w:rsidRDefault="001847CC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Aportación al PEMC a través de las prácticas docentes, a través de Power Point como Diario Intercactivo.</w:t>
            </w:r>
          </w:p>
        </w:tc>
      </w:tr>
    </w:tbl>
    <w:p w14:paraId="44CED3E6" w14:textId="5381D460" w:rsidR="00C2780C" w:rsidRPr="008C429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17E91" w:rsidRPr="008C4294" w14:paraId="5238A05D" w14:textId="77777777" w:rsidTr="00BF0930">
        <w:tc>
          <w:tcPr>
            <w:tcW w:w="5000" w:type="pct"/>
            <w:gridSpan w:val="4"/>
          </w:tcPr>
          <w:p w14:paraId="253A8CCF" w14:textId="60FEA647" w:rsidR="00817E91" w:rsidRPr="008C4294" w:rsidRDefault="00C4141C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</w:t>
            </w:r>
            <w:r w:rsidR="001847CC">
              <w:rPr>
                <w:rFonts w:ascii="Arial" w:hAnsi="Arial" w:cs="Arial"/>
                <w:sz w:val="20"/>
                <w:szCs w:val="20"/>
              </w:rPr>
              <w:t xml:space="preserve">: El tiempo de evaluación de la Unidad I es muy corto, ya que las alumnas regresan de sus prácticas y días después se tiene que reportar evaluación, considero los temas no serán vistos a profundidad. </w:t>
            </w:r>
          </w:p>
        </w:tc>
      </w:tr>
      <w:tr w:rsidR="00817E91" w:rsidRPr="008C4294" w14:paraId="21D36A92" w14:textId="77777777" w:rsidTr="005F049E">
        <w:tc>
          <w:tcPr>
            <w:tcW w:w="1270" w:type="pct"/>
            <w:vAlign w:val="center"/>
          </w:tcPr>
          <w:p w14:paraId="616CEE58" w14:textId="5D017510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lastRenderedPageBreak/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5F049E">
        <w:trPr>
          <w:trHeight w:val="156"/>
        </w:trPr>
        <w:tc>
          <w:tcPr>
            <w:tcW w:w="1270" w:type="pct"/>
          </w:tcPr>
          <w:p w14:paraId="59AC1CEC" w14:textId="1BF4D077" w:rsidR="00502FC7" w:rsidRDefault="008D2FB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6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B2D5516" wp14:editId="62BD022C">
                  <wp:simplePos x="0" y="0"/>
                  <wp:positionH relativeFrom="column">
                    <wp:posOffset>640155</wp:posOffset>
                  </wp:positionH>
                  <wp:positionV relativeFrom="paragraph">
                    <wp:posOffset>51734</wp:posOffset>
                  </wp:positionV>
                  <wp:extent cx="952500" cy="601793"/>
                  <wp:effectExtent l="0" t="0" r="0" b="825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0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340CBA" w14:textId="77777777" w:rsidR="001847CC" w:rsidRDefault="00502FC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14:paraId="7A27807C" w14:textId="77777777" w:rsidR="008D2FB7" w:rsidRDefault="00502FC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7C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76FED729" w14:textId="272FC97F" w:rsidR="0020298B" w:rsidRDefault="008D2FB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02FC7">
              <w:rPr>
                <w:rFonts w:ascii="Arial" w:hAnsi="Arial" w:cs="Arial"/>
                <w:sz w:val="20"/>
                <w:szCs w:val="20"/>
              </w:rPr>
              <w:t>Profra. Fabiola Valero Torres</w:t>
            </w:r>
          </w:p>
          <w:p w14:paraId="5783229A" w14:textId="116F5439" w:rsidR="001847CC" w:rsidRPr="008C4294" w:rsidRDefault="001847CC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pct"/>
          </w:tcPr>
          <w:p w14:paraId="0C27A537" w14:textId="77777777" w:rsidR="00817E91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8F74B" w14:textId="77777777" w:rsidR="000E0DF4" w:rsidRDefault="000E0DF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345AF" w14:textId="11DD92DA" w:rsidR="009469BF" w:rsidRPr="008C4294" w:rsidRDefault="009469BF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Roxana Janeth Sánchez Suárez</w:t>
            </w:r>
          </w:p>
        </w:tc>
        <w:tc>
          <w:tcPr>
            <w:tcW w:w="1353" w:type="pct"/>
          </w:tcPr>
          <w:p w14:paraId="2F22AE9B" w14:textId="77777777" w:rsidR="001847CC" w:rsidRDefault="001847C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4448C" w14:textId="77777777" w:rsidR="001847CC" w:rsidRDefault="001847C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53F50" w14:textId="4AD908D2" w:rsidR="00817E91" w:rsidRPr="008C4294" w:rsidRDefault="001847C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Alina Lorena Arreola González</w:t>
            </w:r>
          </w:p>
        </w:tc>
        <w:tc>
          <w:tcPr>
            <w:tcW w:w="586" w:type="pct"/>
          </w:tcPr>
          <w:p w14:paraId="1FFAB9C1" w14:textId="1D269C99" w:rsidR="00817E91" w:rsidRPr="008C4294" w:rsidRDefault="008D66BA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202</w:t>
            </w:r>
            <w:r w:rsidR="00DE4E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3E72620" w14:textId="45E7FA77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433F9D94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default" r:id="rId11"/>
      <w:footerReference w:type="default" r:id="rId12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1540" w14:textId="77777777" w:rsidR="000F16E7" w:rsidRDefault="000F16E7" w:rsidP="00901438">
      <w:pPr>
        <w:spacing w:after="0" w:line="240" w:lineRule="auto"/>
      </w:pPr>
      <w:r>
        <w:separator/>
      </w:r>
    </w:p>
  </w:endnote>
  <w:endnote w:type="continuationSeparator" w:id="0">
    <w:p w14:paraId="1DC936CF" w14:textId="77777777" w:rsidR="000F16E7" w:rsidRDefault="000F16E7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3CADD7C5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V 2</w:t>
    </w:r>
    <w:r w:rsidR="00DE4ECB">
      <w:rPr>
        <w:rFonts w:ascii="Arial" w:hAnsi="Arial" w:cs="Arial"/>
        <w:color w:val="000000" w:themeColor="text1"/>
        <w:kern w:val="24"/>
        <w:sz w:val="20"/>
        <w:szCs w:val="20"/>
      </w:rPr>
      <w:t>2</w:t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-2</w:t>
    </w:r>
    <w:r w:rsidR="00DE4ECB">
      <w:rPr>
        <w:rFonts w:ascii="Arial" w:hAnsi="Arial" w:cs="Arial"/>
        <w:color w:val="000000" w:themeColor="text1"/>
        <w:kern w:val="24"/>
        <w:sz w:val="20"/>
        <w:szCs w:val="20"/>
      </w:rPr>
      <w:t>3</w:t>
    </w:r>
  </w:p>
  <w:p w14:paraId="65EDCDBA" w14:textId="526A8C5D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813711" w:rsidRPr="00813711">
      <w:rPr>
        <w:noProof/>
        <w:lang w:val="es-ES"/>
      </w:rPr>
      <w:t>1</w:t>
    </w:r>
    <w:r w:rsidR="00BB20DA">
      <w:fldChar w:fldCharType="end"/>
    </w:r>
    <w:r w:rsidR="00BB20D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9509" w14:textId="77777777" w:rsidR="000F16E7" w:rsidRDefault="000F16E7" w:rsidP="00901438">
      <w:pPr>
        <w:spacing w:after="0" w:line="240" w:lineRule="auto"/>
      </w:pPr>
      <w:r>
        <w:separator/>
      </w:r>
    </w:p>
  </w:footnote>
  <w:footnote w:type="continuationSeparator" w:id="0">
    <w:p w14:paraId="179E902E" w14:textId="77777777" w:rsidR="000F16E7" w:rsidRDefault="000F16E7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0166BBEE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</w:t>
          </w:r>
          <w:r w:rsidR="00DE4ECB">
            <w:rPr>
              <w:rFonts w:ascii="Arial Narrow" w:hAnsi="Arial Narrow" w:cs="Arial"/>
              <w:b/>
            </w:rPr>
            <w:t>2</w:t>
          </w:r>
          <w:r w:rsidR="00AC342B">
            <w:rPr>
              <w:rFonts w:ascii="Arial Narrow" w:hAnsi="Arial Narrow" w:cs="Arial"/>
              <w:b/>
            </w:rPr>
            <w:t>-202</w:t>
          </w:r>
          <w:r w:rsidR="00DE4ECB">
            <w:rPr>
              <w:rFonts w:ascii="Arial Narrow" w:hAnsi="Arial Narrow" w:cs="Arial"/>
              <w:b/>
            </w:rPr>
            <w:t>3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85F7145" w:rsidR="00052773" w:rsidRDefault="000F79CA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F28CF17" wp14:editId="42B22C6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E4E1B"/>
    <w:multiLevelType w:val="hybridMultilevel"/>
    <w:tmpl w:val="B17EB65E"/>
    <w:lvl w:ilvl="0" w:tplc="E79CC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188260">
    <w:abstractNumId w:val="0"/>
  </w:num>
  <w:num w:numId="2" w16cid:durableId="1222406563">
    <w:abstractNumId w:val="1"/>
  </w:num>
  <w:num w:numId="3" w16cid:durableId="1887568524">
    <w:abstractNumId w:val="6"/>
  </w:num>
  <w:num w:numId="4" w16cid:durableId="315112613">
    <w:abstractNumId w:val="5"/>
  </w:num>
  <w:num w:numId="5" w16cid:durableId="118500458">
    <w:abstractNumId w:val="4"/>
  </w:num>
  <w:num w:numId="6" w16cid:durableId="1356229270">
    <w:abstractNumId w:val="2"/>
  </w:num>
  <w:num w:numId="7" w16cid:durableId="333992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07371"/>
    <w:rsid w:val="00011182"/>
    <w:rsid w:val="00022A4E"/>
    <w:rsid w:val="00024B03"/>
    <w:rsid w:val="00027B5E"/>
    <w:rsid w:val="00033512"/>
    <w:rsid w:val="000339DB"/>
    <w:rsid w:val="00044D60"/>
    <w:rsid w:val="00052773"/>
    <w:rsid w:val="00055C71"/>
    <w:rsid w:val="00056052"/>
    <w:rsid w:val="00065158"/>
    <w:rsid w:val="00091BBF"/>
    <w:rsid w:val="00095232"/>
    <w:rsid w:val="000A1F08"/>
    <w:rsid w:val="000B1E39"/>
    <w:rsid w:val="000C5E66"/>
    <w:rsid w:val="000D26BC"/>
    <w:rsid w:val="000D5211"/>
    <w:rsid w:val="000E0DF4"/>
    <w:rsid w:val="000E2814"/>
    <w:rsid w:val="000F09E6"/>
    <w:rsid w:val="000F10C5"/>
    <w:rsid w:val="000F16E7"/>
    <w:rsid w:val="000F79CA"/>
    <w:rsid w:val="001000FE"/>
    <w:rsid w:val="001105BA"/>
    <w:rsid w:val="00116A35"/>
    <w:rsid w:val="00122A47"/>
    <w:rsid w:val="001438B5"/>
    <w:rsid w:val="00164528"/>
    <w:rsid w:val="00183DE4"/>
    <w:rsid w:val="001847CC"/>
    <w:rsid w:val="001A27CA"/>
    <w:rsid w:val="001C775E"/>
    <w:rsid w:val="001D6C96"/>
    <w:rsid w:val="001E06C0"/>
    <w:rsid w:val="001E553C"/>
    <w:rsid w:val="001F615B"/>
    <w:rsid w:val="00200325"/>
    <w:rsid w:val="0020298B"/>
    <w:rsid w:val="00213FDA"/>
    <w:rsid w:val="00225DE2"/>
    <w:rsid w:val="002316C4"/>
    <w:rsid w:val="00232440"/>
    <w:rsid w:val="002400C3"/>
    <w:rsid w:val="0026260E"/>
    <w:rsid w:val="00280644"/>
    <w:rsid w:val="002A31A3"/>
    <w:rsid w:val="002A4363"/>
    <w:rsid w:val="002A5465"/>
    <w:rsid w:val="002C42D2"/>
    <w:rsid w:val="002C741F"/>
    <w:rsid w:val="002D7919"/>
    <w:rsid w:val="002E002C"/>
    <w:rsid w:val="002E15A7"/>
    <w:rsid w:val="003011B0"/>
    <w:rsid w:val="00307B98"/>
    <w:rsid w:val="003205C6"/>
    <w:rsid w:val="00321225"/>
    <w:rsid w:val="0035261B"/>
    <w:rsid w:val="003561C5"/>
    <w:rsid w:val="003662E9"/>
    <w:rsid w:val="00366F0D"/>
    <w:rsid w:val="00370136"/>
    <w:rsid w:val="003A7094"/>
    <w:rsid w:val="003B1859"/>
    <w:rsid w:val="00401F61"/>
    <w:rsid w:val="00411229"/>
    <w:rsid w:val="004121BF"/>
    <w:rsid w:val="00420090"/>
    <w:rsid w:val="00447C6C"/>
    <w:rsid w:val="00447D2B"/>
    <w:rsid w:val="0046450E"/>
    <w:rsid w:val="00480606"/>
    <w:rsid w:val="00481282"/>
    <w:rsid w:val="004856BA"/>
    <w:rsid w:val="00486F94"/>
    <w:rsid w:val="00487909"/>
    <w:rsid w:val="004D69F9"/>
    <w:rsid w:val="004E6CF2"/>
    <w:rsid w:val="00502FC7"/>
    <w:rsid w:val="005035F0"/>
    <w:rsid w:val="005156A9"/>
    <w:rsid w:val="005251E2"/>
    <w:rsid w:val="0053741D"/>
    <w:rsid w:val="005624DF"/>
    <w:rsid w:val="005967DE"/>
    <w:rsid w:val="005A69F0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143E"/>
    <w:rsid w:val="0062292F"/>
    <w:rsid w:val="006261FD"/>
    <w:rsid w:val="006300D2"/>
    <w:rsid w:val="006418EF"/>
    <w:rsid w:val="00643351"/>
    <w:rsid w:val="006634B6"/>
    <w:rsid w:val="006773F8"/>
    <w:rsid w:val="006948A7"/>
    <w:rsid w:val="006B27C8"/>
    <w:rsid w:val="006B66EC"/>
    <w:rsid w:val="006D59A8"/>
    <w:rsid w:val="006D7D93"/>
    <w:rsid w:val="006F16E3"/>
    <w:rsid w:val="006F5A45"/>
    <w:rsid w:val="006F676A"/>
    <w:rsid w:val="00700B8E"/>
    <w:rsid w:val="00701A45"/>
    <w:rsid w:val="00711ABA"/>
    <w:rsid w:val="00727AE3"/>
    <w:rsid w:val="00733C26"/>
    <w:rsid w:val="00743873"/>
    <w:rsid w:val="0074740C"/>
    <w:rsid w:val="00747447"/>
    <w:rsid w:val="00760494"/>
    <w:rsid w:val="0076627E"/>
    <w:rsid w:val="00777E45"/>
    <w:rsid w:val="00797E5B"/>
    <w:rsid w:val="007A146B"/>
    <w:rsid w:val="007A626E"/>
    <w:rsid w:val="007B0D92"/>
    <w:rsid w:val="007B25A4"/>
    <w:rsid w:val="007B3604"/>
    <w:rsid w:val="007D09F0"/>
    <w:rsid w:val="007D2467"/>
    <w:rsid w:val="007E3412"/>
    <w:rsid w:val="007E6126"/>
    <w:rsid w:val="00805367"/>
    <w:rsid w:val="008058BB"/>
    <w:rsid w:val="00813711"/>
    <w:rsid w:val="00815AAC"/>
    <w:rsid w:val="00817E91"/>
    <w:rsid w:val="00824A3B"/>
    <w:rsid w:val="00824C30"/>
    <w:rsid w:val="008A10AC"/>
    <w:rsid w:val="008A1FFF"/>
    <w:rsid w:val="008A4BB1"/>
    <w:rsid w:val="008A6700"/>
    <w:rsid w:val="008A7DCE"/>
    <w:rsid w:val="008C036F"/>
    <w:rsid w:val="008C4294"/>
    <w:rsid w:val="008D2FB7"/>
    <w:rsid w:val="008D66BA"/>
    <w:rsid w:val="008D7200"/>
    <w:rsid w:val="00901438"/>
    <w:rsid w:val="009078B1"/>
    <w:rsid w:val="00920013"/>
    <w:rsid w:val="00920D84"/>
    <w:rsid w:val="009469BF"/>
    <w:rsid w:val="00953892"/>
    <w:rsid w:val="00961E9B"/>
    <w:rsid w:val="009650C9"/>
    <w:rsid w:val="00975756"/>
    <w:rsid w:val="009767DD"/>
    <w:rsid w:val="00996DED"/>
    <w:rsid w:val="009A040F"/>
    <w:rsid w:val="009A35B9"/>
    <w:rsid w:val="009A7A93"/>
    <w:rsid w:val="009A7EE6"/>
    <w:rsid w:val="009D543C"/>
    <w:rsid w:val="009E5597"/>
    <w:rsid w:val="009E6DD9"/>
    <w:rsid w:val="00A20535"/>
    <w:rsid w:val="00A36C0F"/>
    <w:rsid w:val="00A36DA0"/>
    <w:rsid w:val="00A46120"/>
    <w:rsid w:val="00A50C4C"/>
    <w:rsid w:val="00A646F9"/>
    <w:rsid w:val="00A87849"/>
    <w:rsid w:val="00AA4EE3"/>
    <w:rsid w:val="00AC342B"/>
    <w:rsid w:val="00AD2E19"/>
    <w:rsid w:val="00AE4D2F"/>
    <w:rsid w:val="00AF3BBD"/>
    <w:rsid w:val="00B0006B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C65CF"/>
    <w:rsid w:val="00BD1DCF"/>
    <w:rsid w:val="00BD64CD"/>
    <w:rsid w:val="00BF0930"/>
    <w:rsid w:val="00BF4450"/>
    <w:rsid w:val="00BF79EA"/>
    <w:rsid w:val="00C013D4"/>
    <w:rsid w:val="00C0764E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63F8B"/>
    <w:rsid w:val="00C72FAD"/>
    <w:rsid w:val="00C839DE"/>
    <w:rsid w:val="00C94FB1"/>
    <w:rsid w:val="00C97EE4"/>
    <w:rsid w:val="00CC4918"/>
    <w:rsid w:val="00CD2BDF"/>
    <w:rsid w:val="00CE476D"/>
    <w:rsid w:val="00CE47BA"/>
    <w:rsid w:val="00D36CD0"/>
    <w:rsid w:val="00D529EE"/>
    <w:rsid w:val="00D53E31"/>
    <w:rsid w:val="00D56F10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E4DE4"/>
    <w:rsid w:val="00DE4ECB"/>
    <w:rsid w:val="00DF0E26"/>
    <w:rsid w:val="00DF2DD7"/>
    <w:rsid w:val="00DF3C6E"/>
    <w:rsid w:val="00DF77EF"/>
    <w:rsid w:val="00E01786"/>
    <w:rsid w:val="00E02F86"/>
    <w:rsid w:val="00E11006"/>
    <w:rsid w:val="00E122FC"/>
    <w:rsid w:val="00E154F6"/>
    <w:rsid w:val="00E26E44"/>
    <w:rsid w:val="00E41177"/>
    <w:rsid w:val="00E44FD8"/>
    <w:rsid w:val="00E47F36"/>
    <w:rsid w:val="00E54A6E"/>
    <w:rsid w:val="00E600B5"/>
    <w:rsid w:val="00E735DF"/>
    <w:rsid w:val="00E83C00"/>
    <w:rsid w:val="00E97D97"/>
    <w:rsid w:val="00EC5121"/>
    <w:rsid w:val="00EC5C66"/>
    <w:rsid w:val="00EC7F12"/>
    <w:rsid w:val="00ED4BA2"/>
    <w:rsid w:val="00F00604"/>
    <w:rsid w:val="00F04699"/>
    <w:rsid w:val="00F04D2A"/>
    <w:rsid w:val="00F22ED1"/>
    <w:rsid w:val="00F32DCD"/>
    <w:rsid w:val="00F3381E"/>
    <w:rsid w:val="00F33DB6"/>
    <w:rsid w:val="00F628D0"/>
    <w:rsid w:val="00F64711"/>
    <w:rsid w:val="00F80C66"/>
    <w:rsid w:val="00F878C7"/>
    <w:rsid w:val="00F96875"/>
    <w:rsid w:val="00FA3171"/>
    <w:rsid w:val="00FA69F5"/>
    <w:rsid w:val="00FB49DD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791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C6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7L85iPfB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pnTlxTMTW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A2B4-566F-4E6F-BF3E-82BED80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FABIOLA VALERO TORRES</cp:lastModifiedBy>
  <cp:revision>8</cp:revision>
  <cp:lastPrinted>2021-01-25T16:01:00Z</cp:lastPrinted>
  <dcterms:created xsi:type="dcterms:W3CDTF">2021-08-18T22:24:00Z</dcterms:created>
  <dcterms:modified xsi:type="dcterms:W3CDTF">2022-08-26T16:40:00Z</dcterms:modified>
</cp:coreProperties>
</file>