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0EAC" w14:textId="77777777" w:rsidR="006C1307" w:rsidRPr="00CF10D5" w:rsidRDefault="006C1307" w:rsidP="006C1307">
      <w:pPr>
        <w:jc w:val="center"/>
        <w:rPr>
          <w:rFonts w:ascii="Arial Black" w:hAnsi="Arial Black"/>
          <w:sz w:val="44"/>
          <w:szCs w:val="44"/>
        </w:rPr>
      </w:pPr>
      <w:r w:rsidRPr="00CF10D5">
        <w:rPr>
          <w:rFonts w:ascii="Arial Black" w:hAnsi="Arial Black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953B7F0" wp14:editId="3BC4365F">
            <wp:simplePos x="0" y="0"/>
            <wp:positionH relativeFrom="column">
              <wp:posOffset>4888865</wp:posOffset>
            </wp:positionH>
            <wp:positionV relativeFrom="paragraph">
              <wp:posOffset>0</wp:posOffset>
            </wp:positionV>
            <wp:extent cx="971550" cy="1250950"/>
            <wp:effectExtent l="0" t="0" r="0" b="6350"/>
            <wp:wrapTight wrapText="bothSides">
              <wp:wrapPolygon edited="0">
                <wp:start x="0" y="0"/>
                <wp:lineTo x="0" y="21381"/>
                <wp:lineTo x="21176" y="21381"/>
                <wp:lineTo x="21176" y="0"/>
                <wp:lineTo x="0" y="0"/>
              </wp:wrapPolygon>
            </wp:wrapTight>
            <wp:docPr id="1" name="Imagen 1" descr="Psicología de la educación en México: un bosquejo histórico time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icología de la educación en México: un bosquejo histórico time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71" t="20000" r="28652" b="18438"/>
                    <a:stretch/>
                  </pic:blipFill>
                  <pic:spPr bwMode="auto">
                    <a:xfrm>
                      <a:off x="0" y="0"/>
                      <a:ext cx="9715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F10D5">
        <w:rPr>
          <w:rFonts w:ascii="Arial Black" w:hAnsi="Arial Black"/>
          <w:sz w:val="44"/>
          <w:szCs w:val="44"/>
        </w:rPr>
        <w:t>Escuela Normal de Educación Preescolar</w:t>
      </w:r>
    </w:p>
    <w:p w14:paraId="1D09BAE5" w14:textId="77777777" w:rsidR="006C1307" w:rsidRDefault="006C1307" w:rsidP="006C1307">
      <w:pPr>
        <w:jc w:val="center"/>
        <w:rPr>
          <w:rFonts w:ascii="Arial Rounded MT Bold" w:hAnsi="Arial Rounded MT Bold"/>
          <w:sz w:val="30"/>
          <w:szCs w:val="30"/>
        </w:rPr>
      </w:pPr>
      <w:r w:rsidRPr="00CF10D5">
        <w:rPr>
          <w:rFonts w:ascii="Arial Rounded MT Bold" w:hAnsi="Arial Rounded MT Bold"/>
          <w:sz w:val="30"/>
          <w:szCs w:val="30"/>
        </w:rPr>
        <w:t>2022-2023</w:t>
      </w:r>
    </w:p>
    <w:p w14:paraId="241C7B69" w14:textId="6AEA65F3" w:rsidR="005C6624" w:rsidRDefault="005C6624" w:rsidP="006C1307">
      <w:pPr>
        <w:jc w:val="center"/>
      </w:pPr>
    </w:p>
    <w:p w14:paraId="3D56121D" w14:textId="77777777" w:rsidR="006C1307" w:rsidRDefault="006C1307" w:rsidP="006C1307">
      <w:pPr>
        <w:jc w:val="center"/>
      </w:pPr>
    </w:p>
    <w:p w14:paraId="0DD0DEF9" w14:textId="01BBE825" w:rsidR="006C1307" w:rsidRPr="006C1307" w:rsidRDefault="006C1307" w:rsidP="006C1307">
      <w:pPr>
        <w:jc w:val="center"/>
        <w:rPr>
          <w:rFonts w:ascii="Mystical Woods Rough Script" w:hAnsi="Mystical Woods Rough Script"/>
          <w:sz w:val="40"/>
          <w:szCs w:val="40"/>
        </w:rPr>
      </w:pPr>
      <w:r w:rsidRPr="006C1307">
        <w:rPr>
          <w:rFonts w:ascii="Mystical Woods Rough Script" w:hAnsi="Mystical Woods Rough Script"/>
          <w:sz w:val="40"/>
          <w:szCs w:val="40"/>
        </w:rPr>
        <w:t xml:space="preserve">Análisis de practicas y contextos escolares </w:t>
      </w:r>
    </w:p>
    <w:p w14:paraId="16FA0FC7" w14:textId="3EF45ACC" w:rsidR="006C1307" w:rsidRDefault="006C1307" w:rsidP="006C1307">
      <w:pPr>
        <w:jc w:val="center"/>
        <w:rPr>
          <w:rFonts w:ascii="Arial" w:hAnsi="Arial" w:cs="Arial"/>
          <w:color w:val="FFFFFF"/>
          <w:sz w:val="96"/>
          <w:szCs w:val="96"/>
          <w:shd w:val="clear" w:color="auto" w:fill="00979D"/>
        </w:rPr>
      </w:pPr>
      <w:r>
        <w:rPr>
          <w:rFonts w:ascii="Arial" w:hAnsi="Arial" w:cs="Arial"/>
          <w:color w:val="FFFFFF"/>
          <w:sz w:val="96"/>
          <w:szCs w:val="96"/>
          <w:shd w:val="clear" w:color="auto" w:fill="00979D"/>
        </w:rPr>
        <w:t>R</w:t>
      </w:r>
      <w:r>
        <w:rPr>
          <w:rFonts w:ascii="Arial" w:hAnsi="Arial" w:cs="Arial"/>
          <w:color w:val="FFFFFF"/>
          <w:sz w:val="96"/>
          <w:szCs w:val="96"/>
          <w:shd w:val="clear" w:color="auto" w:fill="00979D"/>
        </w:rPr>
        <w:t>eporte de lectura</w:t>
      </w:r>
    </w:p>
    <w:p w14:paraId="3F4C0C44" w14:textId="637F6378" w:rsidR="006C1307" w:rsidRDefault="006C1307" w:rsidP="006C1307">
      <w:pPr>
        <w:jc w:val="center"/>
        <w:rPr>
          <w:rFonts w:ascii="Arial" w:hAnsi="Arial" w:cs="Arial"/>
          <w:color w:val="FFFFFF"/>
          <w:sz w:val="24"/>
          <w:szCs w:val="24"/>
          <w:shd w:val="clear" w:color="auto" w:fill="00979D"/>
        </w:rPr>
      </w:pPr>
    </w:p>
    <w:p w14:paraId="1421BC22" w14:textId="252E5D51" w:rsidR="006C1307" w:rsidRPr="006C1307" w:rsidRDefault="006C1307" w:rsidP="006C1307">
      <w:pPr>
        <w:spacing w:before="30" w:after="30" w:line="240" w:lineRule="auto"/>
        <w:ind w:left="60"/>
        <w:jc w:val="center"/>
        <w:outlineLvl w:val="2"/>
        <w:rPr>
          <w:rFonts w:ascii="Arial Rounded MT Bold" w:eastAsia="Times New Roman" w:hAnsi="Arial Rounded MT Bold" w:cs="Arial"/>
          <w:b/>
          <w:bCs/>
          <w:color w:val="000000"/>
          <w:sz w:val="36"/>
          <w:szCs w:val="36"/>
          <w:lang w:eastAsia="es-MX"/>
        </w:rPr>
      </w:pPr>
      <w:r w:rsidRPr="006C1307">
        <w:rPr>
          <w:rFonts w:ascii="Arial Rounded MT Bold" w:eastAsia="Times New Roman" w:hAnsi="Arial Rounded MT Bold" w:cs="Arial"/>
          <w:b/>
          <w:bCs/>
          <w:color w:val="000000"/>
          <w:sz w:val="36"/>
          <w:szCs w:val="36"/>
          <w:lang w:eastAsia="es-MX"/>
        </w:rPr>
        <w:t>MAESTRO: </w:t>
      </w:r>
      <w:hyperlink r:id="rId5" w:history="1">
        <w:r w:rsidRPr="006C1307">
          <w:rPr>
            <w:rFonts w:ascii="Arial Rounded MT Bold" w:eastAsia="Times New Roman" w:hAnsi="Arial Rounded MT Bold" w:cs="Arial"/>
            <w:b/>
            <w:bCs/>
            <w:color w:val="000000"/>
            <w:sz w:val="36"/>
            <w:szCs w:val="36"/>
            <w:lang w:eastAsia="es-MX"/>
          </w:rPr>
          <w:t>ROSA VELIA DEL RIO TIJERINA</w:t>
        </w:r>
      </w:hyperlink>
    </w:p>
    <w:p w14:paraId="7EBEAD16" w14:textId="74031BD3" w:rsidR="006C1307" w:rsidRDefault="006C1307" w:rsidP="006C1307">
      <w:pPr>
        <w:spacing w:before="30" w:after="30" w:line="240" w:lineRule="auto"/>
        <w:ind w:left="60"/>
        <w:jc w:val="center"/>
        <w:outlineLvl w:val="2"/>
        <w:rPr>
          <w:rFonts w:ascii="Arial Rounded MT Bold" w:eastAsia="Times New Roman" w:hAnsi="Arial Rounded MT Bold" w:cs="Arial"/>
          <w:b/>
          <w:bCs/>
          <w:color w:val="000000"/>
          <w:sz w:val="30"/>
          <w:szCs w:val="30"/>
          <w:lang w:eastAsia="es-MX"/>
        </w:rPr>
      </w:pPr>
    </w:p>
    <w:p w14:paraId="364F7127" w14:textId="28F3F2F8" w:rsidR="006C1307" w:rsidRDefault="006C1307" w:rsidP="006C1307">
      <w:pPr>
        <w:spacing w:before="30" w:after="30" w:line="240" w:lineRule="auto"/>
        <w:ind w:left="60"/>
        <w:jc w:val="center"/>
        <w:outlineLvl w:val="2"/>
        <w:rPr>
          <w:rFonts w:ascii="Abadi" w:eastAsia="Times New Roman" w:hAnsi="Abadi" w:cs="Arial"/>
          <w:color w:val="000000"/>
          <w:sz w:val="40"/>
          <w:szCs w:val="40"/>
          <w:lang w:eastAsia="es-MX"/>
        </w:rPr>
      </w:pPr>
      <w:r w:rsidRPr="006C1307">
        <w:rPr>
          <w:rFonts w:ascii="Abadi" w:eastAsia="Times New Roman" w:hAnsi="Abadi" w:cs="Arial"/>
          <w:color w:val="000000"/>
          <w:sz w:val="40"/>
          <w:szCs w:val="40"/>
          <w:lang w:eastAsia="es-MX"/>
        </w:rPr>
        <w:t xml:space="preserve">Angela Guadalupe López Acosta </w:t>
      </w:r>
    </w:p>
    <w:p w14:paraId="31BCD7FB" w14:textId="34B68164" w:rsidR="006C1307" w:rsidRDefault="006C1307" w:rsidP="006C1307">
      <w:pPr>
        <w:spacing w:before="30" w:after="30" w:line="240" w:lineRule="auto"/>
        <w:ind w:left="60"/>
        <w:jc w:val="center"/>
        <w:outlineLvl w:val="2"/>
        <w:rPr>
          <w:rFonts w:ascii="Abadi" w:eastAsia="Times New Roman" w:hAnsi="Abadi" w:cs="Arial"/>
          <w:color w:val="000000"/>
          <w:sz w:val="40"/>
          <w:szCs w:val="40"/>
          <w:lang w:eastAsia="es-MX"/>
        </w:rPr>
      </w:pPr>
    </w:p>
    <w:p w14:paraId="7265CDDB" w14:textId="77777777" w:rsidR="006C1307" w:rsidRDefault="006C1307" w:rsidP="006C1307">
      <w:pPr>
        <w:jc w:val="center"/>
        <w:rPr>
          <w:rFonts w:ascii="Arial Black" w:hAnsi="Arial Black"/>
          <w:sz w:val="60"/>
          <w:szCs w:val="60"/>
        </w:rPr>
      </w:pPr>
      <w:r w:rsidRPr="00CF10D5">
        <w:rPr>
          <w:rFonts w:ascii="Arial Black" w:hAnsi="Arial Black"/>
          <w:sz w:val="60"/>
          <w:szCs w:val="60"/>
        </w:rPr>
        <w:t>1°A     #12</w:t>
      </w:r>
    </w:p>
    <w:p w14:paraId="469738B4" w14:textId="77777777" w:rsidR="006C1307" w:rsidRPr="00CF10D5" w:rsidRDefault="006C1307" w:rsidP="006C1307">
      <w:pPr>
        <w:jc w:val="center"/>
        <w:rPr>
          <w:rFonts w:ascii="Arial Black" w:hAnsi="Arial Black"/>
          <w:sz w:val="16"/>
          <w:szCs w:val="16"/>
        </w:rPr>
      </w:pPr>
    </w:p>
    <w:p w14:paraId="32672BD5" w14:textId="003DA939" w:rsidR="006C1307" w:rsidRDefault="006C1307" w:rsidP="006C1307">
      <w:pPr>
        <w:jc w:val="center"/>
        <w:rPr>
          <w:rFonts w:ascii="Abadi" w:hAnsi="Abadi"/>
          <w:sz w:val="50"/>
          <w:szCs w:val="50"/>
        </w:rPr>
      </w:pPr>
      <w:r>
        <w:rPr>
          <w:rFonts w:ascii="Abadi" w:hAnsi="Abadi"/>
          <w:sz w:val="50"/>
          <w:szCs w:val="50"/>
        </w:rPr>
        <w:t>21</w:t>
      </w:r>
      <w:r w:rsidRPr="00CF10D5">
        <w:rPr>
          <w:rFonts w:ascii="Abadi" w:hAnsi="Abadi"/>
          <w:sz w:val="50"/>
          <w:szCs w:val="50"/>
        </w:rPr>
        <w:t xml:space="preserve">/ </w:t>
      </w:r>
      <w:r>
        <w:rPr>
          <w:rFonts w:ascii="Abadi" w:hAnsi="Abadi"/>
          <w:sz w:val="50"/>
          <w:szCs w:val="50"/>
        </w:rPr>
        <w:t>Marzo</w:t>
      </w:r>
      <w:r w:rsidRPr="00CF10D5">
        <w:rPr>
          <w:rFonts w:ascii="Abadi" w:hAnsi="Abadi"/>
          <w:sz w:val="50"/>
          <w:szCs w:val="50"/>
        </w:rPr>
        <w:t>/ 2023</w:t>
      </w:r>
    </w:p>
    <w:p w14:paraId="5891ACFF" w14:textId="3E741540" w:rsidR="006C1307" w:rsidRDefault="006C1307" w:rsidP="006C1307">
      <w:pPr>
        <w:jc w:val="center"/>
        <w:rPr>
          <w:rFonts w:ascii="Abadi" w:hAnsi="Abadi"/>
          <w:sz w:val="50"/>
          <w:szCs w:val="50"/>
        </w:rPr>
      </w:pPr>
    </w:p>
    <w:p w14:paraId="0660117E" w14:textId="77777777" w:rsidR="006C1307" w:rsidRDefault="006C1307">
      <w:pPr>
        <w:rPr>
          <w:rFonts w:ascii="Abadi" w:hAnsi="Abadi"/>
          <w:sz w:val="50"/>
          <w:szCs w:val="50"/>
        </w:rPr>
      </w:pPr>
      <w:r>
        <w:rPr>
          <w:rFonts w:ascii="Abadi" w:hAnsi="Abadi"/>
          <w:sz w:val="50"/>
          <w:szCs w:val="50"/>
        </w:rPr>
        <w:br w:type="page"/>
      </w:r>
    </w:p>
    <w:p w14:paraId="3F4892A2" w14:textId="77777777" w:rsidR="00DC3DD5" w:rsidRPr="00DC3DD5" w:rsidRDefault="00DC3DD5" w:rsidP="00DC3DD5">
      <w:pPr>
        <w:jc w:val="center"/>
        <w:rPr>
          <w:rFonts w:ascii="Arial Rounded MT Bold" w:hAnsi="Arial Rounded MT Bold"/>
          <w:sz w:val="30"/>
          <w:szCs w:val="30"/>
        </w:rPr>
      </w:pPr>
      <w:r w:rsidRPr="00DC3DD5">
        <w:rPr>
          <w:rFonts w:ascii="Arial Rounded MT Bold" w:hAnsi="Arial Rounded MT Bold"/>
          <w:sz w:val="30"/>
          <w:szCs w:val="30"/>
        </w:rPr>
        <w:lastRenderedPageBreak/>
        <w:t xml:space="preserve">VINCULOS COMUNITARIOS </w:t>
      </w:r>
    </w:p>
    <w:p w14:paraId="5743DC2D" w14:textId="215D8393" w:rsidR="00DC3DD5" w:rsidRDefault="00DC3DD5" w:rsidP="00DC3DD5">
      <w:pPr>
        <w:jc w:val="center"/>
        <w:rPr>
          <w:rFonts w:ascii="Arial Rounded MT Bold" w:hAnsi="Arial Rounded MT Bold"/>
          <w:sz w:val="30"/>
          <w:szCs w:val="30"/>
        </w:rPr>
      </w:pPr>
      <w:r w:rsidRPr="00DC3DD5">
        <w:rPr>
          <w:rFonts w:ascii="Arial Rounded MT Bold" w:hAnsi="Arial Rounded MT Bold"/>
          <w:sz w:val="30"/>
          <w:szCs w:val="30"/>
        </w:rPr>
        <w:t>Y RECONSTRUCCION SOCIAL</w:t>
      </w:r>
      <w:r>
        <w:rPr>
          <w:rFonts w:ascii="Arial Rounded MT Bold" w:hAnsi="Arial Rounded MT Bold"/>
          <w:sz w:val="30"/>
          <w:szCs w:val="30"/>
        </w:rPr>
        <w:t xml:space="preserve"> </w:t>
      </w:r>
    </w:p>
    <w:p w14:paraId="1B8D5015" w14:textId="21DE3529" w:rsidR="00DC3DD5" w:rsidRPr="00DC3DD5" w:rsidRDefault="00DC3DD5" w:rsidP="00DC3DD5">
      <w:pPr>
        <w:jc w:val="right"/>
        <w:rPr>
          <w:rFonts w:ascii="Abadi" w:hAnsi="Abadi"/>
          <w:sz w:val="24"/>
          <w:szCs w:val="24"/>
        </w:rPr>
      </w:pPr>
      <w:r w:rsidRPr="00DC3DD5">
        <w:rPr>
          <w:rFonts w:ascii="Abadi" w:hAnsi="Abadi"/>
          <w:sz w:val="24"/>
          <w:szCs w:val="24"/>
        </w:rPr>
        <w:t>ALFONSO TORRES CARRILLO</w:t>
      </w:r>
    </w:p>
    <w:p w14:paraId="7EC09DD6" w14:textId="795BF145" w:rsidR="006C1307" w:rsidRDefault="00C13D63" w:rsidP="00C13D63">
      <w:pPr>
        <w:jc w:val="center"/>
        <w:rPr>
          <w:rFonts w:ascii="News Gothic MT" w:hAnsi="News Gothic MT"/>
          <w:sz w:val="24"/>
          <w:szCs w:val="24"/>
        </w:rPr>
      </w:pPr>
      <w:r w:rsidRPr="00C13D63">
        <w:rPr>
          <w:rFonts w:ascii="Abadi" w:hAnsi="Abadi"/>
          <w:sz w:val="28"/>
          <w:szCs w:val="28"/>
        </w:rPr>
        <w:sym w:font="Wingdings" w:char="F0E0"/>
      </w:r>
      <w:r>
        <w:rPr>
          <w:rFonts w:ascii="Abadi" w:hAnsi="Abadi"/>
          <w:sz w:val="28"/>
          <w:szCs w:val="28"/>
        </w:rPr>
        <w:t xml:space="preserve"> </w:t>
      </w:r>
      <w:r w:rsidRPr="00C13D63">
        <w:rPr>
          <w:rFonts w:ascii="News Gothic MT" w:hAnsi="News Gothic MT"/>
          <w:sz w:val="24"/>
          <w:szCs w:val="24"/>
        </w:rPr>
        <w:t>L</w:t>
      </w:r>
      <w:r w:rsidRPr="00C13D63">
        <w:rPr>
          <w:rFonts w:ascii="News Gothic MT" w:hAnsi="News Gothic MT"/>
          <w:sz w:val="24"/>
          <w:szCs w:val="24"/>
        </w:rPr>
        <w:t>a expresión "comunidad" genera reacciones encontradas: para unos despierta entusiasmo y simpatía al evocar idílicos esquemas de vida local unitaria; para otros, genera sospecha y escepticismo al ver en ella una noción anacrónica heredada de un cristianismo ingenuo o un populismo romántico</w:t>
      </w:r>
    </w:p>
    <w:p w14:paraId="26D68917" w14:textId="11B3A97A" w:rsidR="00C13D63" w:rsidRDefault="00C13D63" w:rsidP="00DB4BF6">
      <w:pPr>
        <w:jc w:val="center"/>
        <w:rPr>
          <w:rFonts w:ascii="News Gothic MT" w:hAnsi="News Gothic MT"/>
          <w:sz w:val="24"/>
          <w:szCs w:val="24"/>
        </w:rPr>
      </w:pPr>
      <w:r w:rsidRPr="00C13D63">
        <w:rPr>
          <w:rFonts w:ascii="News Gothic MT" w:hAnsi="News Gothic MT"/>
          <w:sz w:val="24"/>
          <w:szCs w:val="24"/>
        </w:rPr>
        <w:sym w:font="Wingdings" w:char="F0E0"/>
      </w:r>
      <w:r w:rsidR="00DB4BF6">
        <w:rPr>
          <w:rFonts w:ascii="News Gothic MT" w:hAnsi="News Gothic MT"/>
          <w:sz w:val="24"/>
          <w:szCs w:val="24"/>
        </w:rPr>
        <w:t xml:space="preserve">Construir un concepto de comunidad. </w:t>
      </w:r>
      <w:r w:rsidR="00DB4BF6" w:rsidRPr="00DB4BF6">
        <w:rPr>
          <w:rFonts w:ascii="News Gothic MT" w:hAnsi="News Gothic MT"/>
          <w:sz w:val="24"/>
          <w:szCs w:val="24"/>
        </w:rPr>
        <w:t>Robert Nisbet (1996: 71</w:t>
      </w:r>
      <w:r w:rsidR="00DB4BF6" w:rsidRPr="00DB4BF6">
        <w:rPr>
          <w:rFonts w:ascii="News Gothic MT" w:hAnsi="News Gothic MT"/>
          <w:sz w:val="24"/>
          <w:szCs w:val="24"/>
        </w:rPr>
        <w:t>):</w:t>
      </w:r>
      <w:r w:rsidR="00DB4BF6" w:rsidRPr="00DB4BF6">
        <w:rPr>
          <w:rFonts w:ascii="News Gothic MT" w:hAnsi="News Gothic MT"/>
          <w:sz w:val="24"/>
          <w:szCs w:val="24"/>
        </w:rPr>
        <w:t xml:space="preserve"> “todas las formas de relación caracterizadas por un alto grado de intimidad personal, profundidad emocional, compromiso moral, cohesión social y continuidad en el tiempo”.</w:t>
      </w:r>
    </w:p>
    <w:p w14:paraId="2998B27C" w14:textId="33784572" w:rsidR="00DB4BF6" w:rsidRDefault="00DB4BF6" w:rsidP="00DB4BF6">
      <w:pPr>
        <w:jc w:val="center"/>
        <w:rPr>
          <w:rFonts w:ascii="News Gothic MT" w:hAnsi="News Gothic MT"/>
          <w:sz w:val="24"/>
          <w:szCs w:val="24"/>
        </w:rPr>
      </w:pPr>
      <w:r w:rsidRPr="00DB4BF6">
        <w:rPr>
          <w:rFonts w:ascii="News Gothic MT" w:hAnsi="News Gothic MT"/>
          <w:sz w:val="24"/>
          <w:szCs w:val="24"/>
        </w:rPr>
        <w:sym w:font="Wingdings" w:char="F0E0"/>
      </w:r>
      <w:r>
        <w:rPr>
          <w:rFonts w:ascii="News Gothic MT" w:hAnsi="News Gothic MT"/>
          <w:sz w:val="24"/>
          <w:szCs w:val="24"/>
        </w:rPr>
        <w:t>L</w:t>
      </w:r>
      <w:r w:rsidRPr="00DB4BF6">
        <w:rPr>
          <w:rFonts w:ascii="News Gothic MT" w:hAnsi="News Gothic MT"/>
          <w:sz w:val="24"/>
          <w:szCs w:val="24"/>
        </w:rPr>
        <w:t>o comunitario se diferenciaba y se oponía a los nuevos vínculos y valores que la vida urbana moderna y la economía capitalista iban imponiendo desde su generalización en el siglo XIX.</w:t>
      </w:r>
    </w:p>
    <w:p w14:paraId="280CFF81" w14:textId="1FE758F3" w:rsidR="00DB4BF6" w:rsidRDefault="00DB4BF6" w:rsidP="00DB4BF6">
      <w:pPr>
        <w:jc w:val="center"/>
        <w:rPr>
          <w:rFonts w:ascii="News Gothic MT" w:hAnsi="News Gothic MT"/>
          <w:sz w:val="24"/>
          <w:szCs w:val="24"/>
        </w:rPr>
      </w:pPr>
      <w:r w:rsidRPr="00DB4BF6">
        <w:rPr>
          <w:rFonts w:ascii="News Gothic MT" w:hAnsi="News Gothic MT"/>
          <w:sz w:val="24"/>
          <w:szCs w:val="24"/>
        </w:rPr>
        <w:sym w:font="Wingdings" w:char="F0E0"/>
      </w:r>
      <w:r>
        <w:rPr>
          <w:rFonts w:ascii="News Gothic MT" w:hAnsi="News Gothic MT"/>
          <w:sz w:val="24"/>
          <w:szCs w:val="24"/>
        </w:rPr>
        <w:t>E</w:t>
      </w:r>
      <w:r w:rsidRPr="00DB4BF6">
        <w:rPr>
          <w:rFonts w:ascii="News Gothic MT" w:hAnsi="News Gothic MT"/>
          <w:sz w:val="24"/>
          <w:szCs w:val="24"/>
        </w:rPr>
        <w:t>n las sociedades tradicionales la vida colectiva se articulaba en torno a lazos afectivos basados en el parentesco, la proximidad territorial, la identidad étnica o la afinidad de sus convicciones</w:t>
      </w:r>
    </w:p>
    <w:p w14:paraId="094C311B" w14:textId="388B2CC4" w:rsidR="00DB4BF6" w:rsidRDefault="00DB4BF6" w:rsidP="00DB4BF6">
      <w:pPr>
        <w:jc w:val="center"/>
        <w:rPr>
          <w:rFonts w:ascii="News Gothic MT" w:hAnsi="News Gothic MT"/>
          <w:sz w:val="24"/>
          <w:szCs w:val="24"/>
        </w:rPr>
      </w:pPr>
      <w:r w:rsidRPr="00DB4BF6">
        <w:rPr>
          <w:rFonts w:ascii="News Gothic MT" w:hAnsi="News Gothic MT"/>
          <w:sz w:val="24"/>
          <w:szCs w:val="24"/>
        </w:rPr>
        <w:sym w:font="Wingdings" w:char="F0E0"/>
      </w:r>
      <w:r>
        <w:rPr>
          <w:rFonts w:ascii="News Gothic MT" w:hAnsi="News Gothic MT"/>
          <w:sz w:val="24"/>
          <w:szCs w:val="24"/>
        </w:rPr>
        <w:t>E</w:t>
      </w:r>
      <w:r w:rsidRPr="00DB4BF6">
        <w:rPr>
          <w:rFonts w:ascii="News Gothic MT" w:hAnsi="News Gothic MT"/>
          <w:sz w:val="24"/>
          <w:szCs w:val="24"/>
        </w:rPr>
        <w:t>n las ciudades modernas y el mundo de los</w:t>
      </w:r>
      <w:r>
        <w:rPr>
          <w:rFonts w:ascii="News Gothic MT" w:hAnsi="News Gothic MT"/>
          <w:sz w:val="24"/>
          <w:szCs w:val="24"/>
        </w:rPr>
        <w:t xml:space="preserve"> </w:t>
      </w:r>
      <w:r w:rsidRPr="00DB4BF6">
        <w:rPr>
          <w:rFonts w:ascii="News Gothic MT" w:hAnsi="News Gothic MT"/>
          <w:sz w:val="24"/>
          <w:szCs w:val="24"/>
        </w:rPr>
        <w:t>negocios, la relación social era abstracta: se sustenta en contratos entre individuos, en acuerdos de intereses basados en la utilidad.</w:t>
      </w:r>
    </w:p>
    <w:p w14:paraId="4E413950" w14:textId="71071B12" w:rsidR="00DB4BF6" w:rsidRDefault="00DB4BF6" w:rsidP="00362807">
      <w:pPr>
        <w:jc w:val="center"/>
        <w:rPr>
          <w:rFonts w:ascii="News Gothic MT" w:hAnsi="News Gothic MT"/>
          <w:sz w:val="24"/>
          <w:szCs w:val="24"/>
        </w:rPr>
      </w:pPr>
      <w:r w:rsidRPr="00DB4BF6">
        <w:rPr>
          <w:rFonts w:ascii="News Gothic MT" w:hAnsi="News Gothic MT"/>
          <w:sz w:val="24"/>
          <w:szCs w:val="24"/>
        </w:rPr>
        <w:sym w:font="Wingdings" w:char="F0E0"/>
      </w:r>
      <w:r w:rsidR="00362807" w:rsidRPr="00362807">
        <w:rPr>
          <w:rFonts w:ascii="News Gothic MT" w:hAnsi="News Gothic MT"/>
          <w:sz w:val="24"/>
          <w:szCs w:val="24"/>
        </w:rPr>
        <w:t>Marx, Proudhon y Comte, coincidían en reconocer que la expansión de la modernidad capitalista, a la vez que desarticulaba los vínculos y valores comunitarios, necesariamente impondría su racionalidad en las demás esferas de la vida colectiva.</w:t>
      </w:r>
    </w:p>
    <w:p w14:paraId="38A67A40" w14:textId="16357449" w:rsidR="00362807" w:rsidRDefault="00362807" w:rsidP="00362807">
      <w:pPr>
        <w:jc w:val="center"/>
        <w:rPr>
          <w:rFonts w:ascii="News Gothic MT" w:hAnsi="News Gothic MT"/>
          <w:sz w:val="24"/>
          <w:szCs w:val="24"/>
        </w:rPr>
      </w:pPr>
      <w:r w:rsidRPr="00362807">
        <w:rPr>
          <w:rFonts w:ascii="News Gothic MT" w:hAnsi="News Gothic MT"/>
          <w:sz w:val="24"/>
          <w:szCs w:val="24"/>
        </w:rPr>
        <w:sym w:font="Wingdings" w:char="F0E0"/>
      </w:r>
      <w:r w:rsidRPr="00362807">
        <w:rPr>
          <w:rFonts w:ascii="News Gothic MT" w:hAnsi="News Gothic MT"/>
          <w:sz w:val="24"/>
          <w:szCs w:val="24"/>
        </w:rPr>
        <w:t xml:space="preserve">La influencia de la Escuela de Chicago trascendió los </w:t>
      </w:r>
      <w:r w:rsidRPr="00362807">
        <w:rPr>
          <w:rFonts w:ascii="News Gothic MT" w:hAnsi="News Gothic MT"/>
          <w:sz w:val="24"/>
          <w:szCs w:val="24"/>
        </w:rPr>
        <w:t>marcos sociológicos</w:t>
      </w:r>
      <w:r w:rsidRPr="00362807">
        <w:rPr>
          <w:rFonts w:ascii="News Gothic MT" w:hAnsi="News Gothic MT"/>
          <w:sz w:val="24"/>
          <w:szCs w:val="24"/>
        </w:rPr>
        <w:t xml:space="preserve"> para influir en la definición de las políticas públicas y programas de intervención con poblaciones populares</w:t>
      </w:r>
    </w:p>
    <w:p w14:paraId="2C7DAEC6" w14:textId="7052D67F" w:rsidR="00362807" w:rsidRDefault="00362807" w:rsidP="00362807">
      <w:pPr>
        <w:rPr>
          <w:rFonts w:ascii="News Gothic MT" w:hAnsi="News Gothic MT"/>
          <w:sz w:val="24"/>
          <w:szCs w:val="24"/>
        </w:rPr>
      </w:pPr>
      <w:r w:rsidRPr="00362807">
        <w:rPr>
          <w:rFonts w:ascii="Arial Rounded MT Bold" w:hAnsi="Arial Rounded MT Bold"/>
          <w:sz w:val="30"/>
          <w:szCs w:val="30"/>
        </w:rPr>
        <w:sym w:font="Wingdings" w:char="F0E0"/>
      </w:r>
      <w:r>
        <w:rPr>
          <w:rFonts w:ascii="News Gothic MT" w:hAnsi="News Gothic MT"/>
          <w:sz w:val="24"/>
          <w:szCs w:val="24"/>
        </w:rPr>
        <w:t>L</w:t>
      </w:r>
      <w:r w:rsidRPr="00362807">
        <w:rPr>
          <w:rFonts w:ascii="News Gothic MT" w:hAnsi="News Gothic MT"/>
          <w:sz w:val="24"/>
          <w:szCs w:val="24"/>
        </w:rPr>
        <w:t>a hegemonía de un “pensamiento único” como lo pretenden algunos corifeos del neoliberalismo también significa la imposibilidad de que surjan sujetos y subjetividades colectivas portadores de otros proyectos económicos, sociales, políticos y culturales alternativos al orden capitalista.</w:t>
      </w:r>
    </w:p>
    <w:p w14:paraId="34FBBB53" w14:textId="384E3C4A" w:rsidR="00362807" w:rsidRDefault="00362807" w:rsidP="00362807">
      <w:pPr>
        <w:rPr>
          <w:rFonts w:ascii="News Gothic MT" w:hAnsi="News Gothic MT"/>
          <w:sz w:val="24"/>
          <w:szCs w:val="24"/>
        </w:rPr>
      </w:pPr>
    </w:p>
    <w:p w14:paraId="74FD2EA5" w14:textId="5C5984F2" w:rsidR="00362807" w:rsidRDefault="00362807" w:rsidP="00362807">
      <w:pPr>
        <w:rPr>
          <w:rFonts w:ascii="News Gothic MT" w:hAnsi="News Gothic MT"/>
          <w:sz w:val="24"/>
          <w:szCs w:val="24"/>
        </w:rPr>
      </w:pPr>
      <w:r w:rsidRPr="00362807">
        <w:rPr>
          <w:rFonts w:ascii="Arial Rounded MT Bold" w:hAnsi="Arial Rounded MT Bold"/>
          <w:sz w:val="30"/>
          <w:szCs w:val="30"/>
        </w:rPr>
        <w:lastRenderedPageBreak/>
        <w:sym w:font="Wingdings" w:char="F0E0"/>
      </w:r>
      <w:r w:rsidRPr="00362807">
        <w:rPr>
          <w:rFonts w:ascii="News Gothic MT" w:hAnsi="News Gothic MT"/>
          <w:sz w:val="24"/>
          <w:szCs w:val="24"/>
        </w:rPr>
        <w:t>El reconocimiento y potenciación de estos nuevos sentidos históricos de lo comunitario pueden dar aliento a propuestas y proyectos alternativos al empobrecimiento material y subjetivo que el modelo capitalista mundial hoy impone en todos los rincones del planeta.</w:t>
      </w:r>
    </w:p>
    <w:p w14:paraId="714E1F16" w14:textId="5202DA0F" w:rsidR="00DC3DD5" w:rsidRPr="00362807" w:rsidRDefault="00DC3DD5" w:rsidP="00DC3DD5">
      <w:pPr>
        <w:rPr>
          <w:rFonts w:ascii="News Gothic MT" w:hAnsi="News Gothic MT"/>
          <w:sz w:val="24"/>
          <w:szCs w:val="24"/>
        </w:rPr>
      </w:pPr>
      <w:r w:rsidRPr="00DC3DD5">
        <w:rPr>
          <w:rFonts w:ascii="News Gothic MT" w:hAnsi="News Gothic MT"/>
          <w:sz w:val="24"/>
          <w:szCs w:val="24"/>
        </w:rPr>
        <w:sym w:font="Wingdings" w:char="F0E0"/>
      </w:r>
      <w:r>
        <w:rPr>
          <w:rFonts w:ascii="News Gothic MT" w:hAnsi="News Gothic MT"/>
          <w:sz w:val="24"/>
          <w:szCs w:val="24"/>
        </w:rPr>
        <w:t>E</w:t>
      </w:r>
      <w:r w:rsidRPr="00DC3DD5">
        <w:rPr>
          <w:rFonts w:ascii="News Gothic MT" w:hAnsi="News Gothic MT"/>
          <w:sz w:val="24"/>
          <w:szCs w:val="24"/>
        </w:rPr>
        <w:t>n el contexto de las sociedades urbanas contemporáneas (Maffesoli 1990), se están reactivando formas de sociabilidad marcadas por fuertes e intensos lazos afectivos en torno a espacios masivos o de consumo cultural, como es el caso de las diversas identificaciones juveniles</w:t>
      </w:r>
    </w:p>
    <w:p w14:paraId="588E9E90" w14:textId="77777777" w:rsidR="006C1307" w:rsidRPr="006C1307" w:rsidRDefault="006C1307" w:rsidP="006C1307">
      <w:pPr>
        <w:spacing w:before="30" w:after="30" w:line="240" w:lineRule="auto"/>
        <w:ind w:left="60"/>
        <w:jc w:val="center"/>
        <w:outlineLvl w:val="2"/>
        <w:rPr>
          <w:rFonts w:ascii="Abadi" w:eastAsia="Times New Roman" w:hAnsi="Abadi" w:cs="Arial"/>
          <w:color w:val="000000"/>
          <w:sz w:val="40"/>
          <w:szCs w:val="40"/>
          <w:lang w:eastAsia="es-MX"/>
        </w:rPr>
      </w:pPr>
    </w:p>
    <w:p w14:paraId="2917D979" w14:textId="6B8C14B1" w:rsidR="006C1307" w:rsidRPr="006C1307" w:rsidRDefault="006C1307" w:rsidP="006C1307">
      <w:pPr>
        <w:jc w:val="center"/>
        <w:rPr>
          <w:rFonts w:ascii="Abadi" w:hAnsi="Abadi" w:cs="Arial"/>
          <w:color w:val="FFFFFF"/>
          <w:sz w:val="40"/>
          <w:szCs w:val="40"/>
          <w:shd w:val="clear" w:color="auto" w:fill="00979D"/>
        </w:rPr>
      </w:pPr>
    </w:p>
    <w:p w14:paraId="7802B957" w14:textId="0E9C81DB" w:rsidR="006C1307" w:rsidRPr="006C1307" w:rsidRDefault="006C1307" w:rsidP="006C1307">
      <w:pPr>
        <w:jc w:val="center"/>
        <w:rPr>
          <w:rFonts w:ascii="Arial" w:hAnsi="Arial" w:cs="Arial"/>
          <w:color w:val="FFFFFF"/>
          <w:sz w:val="24"/>
          <w:szCs w:val="24"/>
          <w:shd w:val="clear" w:color="auto" w:fill="00979D"/>
        </w:rPr>
      </w:pPr>
    </w:p>
    <w:p w14:paraId="0AD9B2F6" w14:textId="77777777" w:rsidR="006C1307" w:rsidRDefault="006C1307" w:rsidP="006C1307">
      <w:pPr>
        <w:jc w:val="center"/>
      </w:pPr>
    </w:p>
    <w:sectPr w:rsidR="006C1307" w:rsidSect="006C1307">
      <w:pgSz w:w="12240" w:h="15840"/>
      <w:pgMar w:top="1417" w:right="1701" w:bottom="1417" w:left="1701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ystical Woods Rough Script">
    <w:charset w:val="00"/>
    <w:family w:val="auto"/>
    <w:pitch w:val="variable"/>
    <w:sig w:usb0="2000000F" w:usb1="1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07"/>
    <w:rsid w:val="002A3F32"/>
    <w:rsid w:val="00362807"/>
    <w:rsid w:val="005C6624"/>
    <w:rsid w:val="006C1307"/>
    <w:rsid w:val="00C13D63"/>
    <w:rsid w:val="00C933AD"/>
    <w:rsid w:val="00DB4BF6"/>
    <w:rsid w:val="00DC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6C99F"/>
  <w15:chartTrackingRefBased/>
  <w15:docId w15:val="{7FBB8783-6B61-4C6F-A439-2D661C88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307"/>
  </w:style>
  <w:style w:type="paragraph" w:styleId="Ttulo3">
    <w:name w:val="heading 3"/>
    <w:basedOn w:val="Normal"/>
    <w:link w:val="Ttulo3Car"/>
    <w:uiPriority w:val="9"/>
    <w:qFormat/>
    <w:rsid w:val="006C13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C130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C13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1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87.141.233.82/sistema/mensajes/EnviaMensaje1.asp?e=enep-00046&amp;c=1674507163&amp;p=4B4M019B2B51M13AB05A10627M&amp;idMateria=7059&amp;idMateria=7059&amp;a=M171&amp;an=ROSA%20VELIA%20DEL%20RIO%20TIJERIN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López Acosta</dc:creator>
  <cp:keywords/>
  <dc:description/>
  <cp:lastModifiedBy>Angela López Acosta</cp:lastModifiedBy>
  <cp:revision>1</cp:revision>
  <dcterms:created xsi:type="dcterms:W3CDTF">2023-03-22T02:01:00Z</dcterms:created>
  <dcterms:modified xsi:type="dcterms:W3CDTF">2023-03-22T02:44:00Z</dcterms:modified>
</cp:coreProperties>
</file>