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901E" w14:textId="77777777" w:rsidR="00155BCD" w:rsidRDefault="00155BCD">
      <w:pPr>
        <w:rPr>
          <w:lang w:val="es-ES"/>
        </w:rPr>
      </w:pPr>
    </w:p>
    <w:p w14:paraId="184BC630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48"/>
          <w:lang w:val="es-ES"/>
        </w:rPr>
      </w:pPr>
      <w:r w:rsidRPr="007C0F0A">
        <w:rPr>
          <w:rFonts w:asciiTheme="majorHAnsi" w:hAnsiTheme="majorHAnsi" w:cstheme="majorHAnsi"/>
          <w:sz w:val="48"/>
          <w:lang w:val="es-ES"/>
        </w:rPr>
        <w:t>ESCUELA NORMAL DE EDUCACIÓN PREESCOLAR</w:t>
      </w:r>
    </w:p>
    <w:p w14:paraId="2DFED982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24EB214D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6B694EFA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4207BC04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3DC4AE35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  <w:r w:rsidRPr="007C0F0A">
        <w:rPr>
          <w:rFonts w:asciiTheme="majorHAnsi" w:hAnsiTheme="majorHAnsi" w:cstheme="majorHAnsi"/>
          <w:noProof/>
          <w:sz w:val="22"/>
          <w:lang w:eastAsia="es-ES_tradnl"/>
        </w:rPr>
        <w:drawing>
          <wp:inline distT="0" distB="0" distL="0" distR="0" wp14:anchorId="7E49934C" wp14:editId="67A4D0E1">
            <wp:extent cx="2857500" cy="2857500"/>
            <wp:effectExtent l="0" t="0" r="12700" b="1270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C0F68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0FC7CEB1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7F5121D5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LICENCIATURA EN PREESCOLAR</w:t>
      </w:r>
    </w:p>
    <w:p w14:paraId="668BD7CC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2022-2023</w:t>
      </w:r>
    </w:p>
    <w:p w14:paraId="1DE28AD9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1ro “A”</w:t>
      </w:r>
    </w:p>
    <w:p w14:paraId="16F5633A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MA</w:t>
      </w:r>
      <w:r>
        <w:rPr>
          <w:rFonts w:asciiTheme="majorHAnsi" w:hAnsiTheme="majorHAnsi" w:cstheme="majorHAnsi"/>
          <w:sz w:val="36"/>
          <w:lang w:val="es-ES"/>
        </w:rPr>
        <w:t>ESTRA</w:t>
      </w:r>
      <w:r w:rsidRPr="007C0F0A">
        <w:rPr>
          <w:rFonts w:asciiTheme="majorHAnsi" w:hAnsiTheme="majorHAnsi" w:cstheme="majorHAnsi"/>
          <w:sz w:val="36"/>
          <w:lang w:val="es-ES"/>
        </w:rPr>
        <w:t xml:space="preserve">: </w:t>
      </w:r>
      <w:r>
        <w:rPr>
          <w:rFonts w:asciiTheme="majorHAnsi" w:hAnsiTheme="majorHAnsi" w:cstheme="majorHAnsi"/>
          <w:sz w:val="36"/>
          <w:lang w:val="es-ES"/>
        </w:rPr>
        <w:t>ROSA VELIA DEL RIO TIJERINA</w:t>
      </w:r>
    </w:p>
    <w:p w14:paraId="5EEC6AFB" w14:textId="77777777" w:rsidR="00DF010C" w:rsidRPr="007C0F0A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“</w:t>
      </w:r>
      <w:r>
        <w:rPr>
          <w:rFonts w:asciiTheme="majorHAnsi" w:hAnsiTheme="majorHAnsi" w:cstheme="majorHAnsi"/>
          <w:sz w:val="36"/>
          <w:lang w:val="es-ES"/>
        </w:rPr>
        <w:t>REPORTE DE LECTURA</w:t>
      </w:r>
      <w:r w:rsidRPr="007C0F0A">
        <w:rPr>
          <w:rFonts w:asciiTheme="majorHAnsi" w:hAnsiTheme="majorHAnsi" w:cstheme="majorHAnsi"/>
          <w:sz w:val="36"/>
          <w:lang w:val="es-ES"/>
        </w:rPr>
        <w:t>”</w:t>
      </w:r>
    </w:p>
    <w:p w14:paraId="2ED100E4" w14:textId="77777777" w:rsidR="00DF010C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PAULINA ORTIZ MORALES #21</w:t>
      </w:r>
    </w:p>
    <w:p w14:paraId="231BFF46" w14:textId="77777777" w:rsidR="00DF010C" w:rsidRPr="007C0F0A" w:rsidRDefault="00DF010C" w:rsidP="00DF010C">
      <w:pPr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MATERIA</w:t>
      </w:r>
      <w:r w:rsidRPr="007C0F0A">
        <w:rPr>
          <w:rFonts w:asciiTheme="majorHAnsi" w:hAnsiTheme="majorHAnsi" w:cstheme="majorHAnsi"/>
          <w:sz w:val="36"/>
          <w:lang w:val="es-ES"/>
        </w:rPr>
        <w:t xml:space="preserve">: </w:t>
      </w:r>
      <w:r>
        <w:rPr>
          <w:rFonts w:asciiTheme="majorHAnsi" w:hAnsiTheme="majorHAnsi" w:cstheme="majorHAnsi"/>
          <w:sz w:val="36"/>
          <w:lang w:val="es-ES"/>
        </w:rPr>
        <w:t>ANÁLISIS DE PRÁCTICAS Y CONTEXTOS ESCOLARES</w:t>
      </w:r>
    </w:p>
    <w:p w14:paraId="041CEF1C" w14:textId="77777777" w:rsidR="00DF010C" w:rsidRDefault="00DF010C" w:rsidP="00DF010C">
      <w:pPr>
        <w:jc w:val="center"/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21 MARZO 2023</w:t>
      </w:r>
    </w:p>
    <w:p w14:paraId="650DAE02" w14:textId="77777777" w:rsidR="00DF010C" w:rsidRDefault="00DF010C">
      <w:pPr>
        <w:rPr>
          <w:lang w:val="es-ES"/>
        </w:rPr>
      </w:pPr>
    </w:p>
    <w:p w14:paraId="58D95C57" w14:textId="77777777" w:rsidR="00DF010C" w:rsidRDefault="00DF010C">
      <w:pPr>
        <w:rPr>
          <w:lang w:val="es-ES"/>
        </w:rPr>
      </w:pPr>
    </w:p>
    <w:p w14:paraId="25B858BD" w14:textId="77777777" w:rsidR="00DF010C" w:rsidRDefault="00DF010C">
      <w:pPr>
        <w:rPr>
          <w:lang w:val="es-ES"/>
        </w:rPr>
      </w:pPr>
    </w:p>
    <w:p w14:paraId="2C310A0D" w14:textId="77777777" w:rsidR="00DF010C" w:rsidRDefault="00DF010C">
      <w:pPr>
        <w:rPr>
          <w:lang w:val="es-ES"/>
        </w:rPr>
      </w:pPr>
    </w:p>
    <w:p w14:paraId="705B61D2" w14:textId="77777777" w:rsidR="00DF010C" w:rsidRDefault="00DF010C">
      <w:pPr>
        <w:rPr>
          <w:lang w:val="es-ES"/>
        </w:rPr>
      </w:pPr>
    </w:p>
    <w:p w14:paraId="7CC4B1F7" w14:textId="77777777" w:rsidR="00DF010C" w:rsidRDefault="00DF010C">
      <w:pPr>
        <w:rPr>
          <w:lang w:val="es-ES"/>
        </w:rPr>
      </w:pPr>
    </w:p>
    <w:p w14:paraId="20EC5A87" w14:textId="77777777" w:rsidR="00DF010C" w:rsidRDefault="00DF010C">
      <w:pPr>
        <w:rPr>
          <w:lang w:val="es-ES"/>
        </w:rPr>
      </w:pPr>
    </w:p>
    <w:p w14:paraId="2659A205" w14:textId="77777777" w:rsidR="00DF010C" w:rsidRDefault="00DF010C">
      <w:pPr>
        <w:rPr>
          <w:lang w:val="es-ES"/>
        </w:rPr>
      </w:pPr>
    </w:p>
    <w:p w14:paraId="57A95D67" w14:textId="77777777" w:rsidR="00DF010C" w:rsidRPr="004F3634" w:rsidRDefault="00DF010C" w:rsidP="004F3634">
      <w:p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>En este texto nos habla sobre la importancia de los vínculos comunitarios en la reconstrucción social de una comunidad.</w:t>
      </w:r>
    </w:p>
    <w:p w14:paraId="17710C1E" w14:textId="77777777" w:rsidR="00DF010C" w:rsidRPr="004F3634" w:rsidRDefault="00DF010C" w:rsidP="004F3634">
      <w:pPr>
        <w:spacing w:line="276" w:lineRule="auto"/>
        <w:rPr>
          <w:b/>
          <w:sz w:val="28"/>
          <w:lang w:val="es-ES"/>
        </w:rPr>
      </w:pPr>
      <w:r w:rsidRPr="004F3634">
        <w:rPr>
          <w:b/>
          <w:sz w:val="28"/>
          <w:lang w:val="es-ES"/>
        </w:rPr>
        <w:t xml:space="preserve"> </w:t>
      </w:r>
    </w:p>
    <w:p w14:paraId="66EA8A40" w14:textId="77777777" w:rsidR="00DF010C" w:rsidRPr="004F3634" w:rsidRDefault="00DF010C" w:rsidP="004F3634">
      <w:pPr>
        <w:spacing w:line="276" w:lineRule="auto"/>
        <w:rPr>
          <w:b/>
          <w:sz w:val="28"/>
          <w:lang w:val="es-ES"/>
        </w:rPr>
      </w:pPr>
      <w:r w:rsidRPr="004F3634">
        <w:rPr>
          <w:b/>
          <w:sz w:val="28"/>
          <w:lang w:val="es-ES"/>
        </w:rPr>
        <w:t>IDEAS PRINCIPALES DE LA LECTURA:</w:t>
      </w:r>
    </w:p>
    <w:p w14:paraId="4EC6B1A9" w14:textId="77777777" w:rsidR="004F3634" w:rsidRPr="004F3634" w:rsidRDefault="004F3634" w:rsidP="004F3634">
      <w:pPr>
        <w:spacing w:line="276" w:lineRule="auto"/>
        <w:rPr>
          <w:sz w:val="28"/>
          <w:lang w:val="es-ES"/>
        </w:rPr>
      </w:pPr>
    </w:p>
    <w:p w14:paraId="379A7643" w14:textId="77777777" w:rsidR="00DF010C" w:rsidRPr="004F3634" w:rsidRDefault="00DF010C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>La reconstrucción social de una comunidad después de un desastre natural, requiere de la creación y fortalecimiento de los vínculos comunitarios</w:t>
      </w:r>
      <w:r w:rsidR="004F3634" w:rsidRPr="004F3634">
        <w:rPr>
          <w:sz w:val="28"/>
          <w:lang w:val="es-ES"/>
        </w:rPr>
        <w:t>.</w:t>
      </w:r>
    </w:p>
    <w:p w14:paraId="3BB7C853" w14:textId="77777777" w:rsidR="004F3634" w:rsidRPr="004F3634" w:rsidRDefault="004F3634" w:rsidP="004F3634">
      <w:pPr>
        <w:pStyle w:val="Prrafodelista"/>
        <w:spacing w:line="276" w:lineRule="auto"/>
        <w:rPr>
          <w:sz w:val="28"/>
          <w:lang w:val="es-ES"/>
        </w:rPr>
      </w:pPr>
    </w:p>
    <w:p w14:paraId="148CE5C8" w14:textId="77777777" w:rsidR="00DF010C" w:rsidRPr="004F3634" w:rsidRDefault="00DF010C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 xml:space="preserve">Los vínculos comunitarios se refieren a las relaciones interpersonales que existen entre los miembros de una comunidad, así como a los lazos que </w:t>
      </w:r>
      <w:r w:rsidR="004F3634" w:rsidRPr="004F3634">
        <w:rPr>
          <w:sz w:val="28"/>
          <w:lang w:val="es-ES"/>
        </w:rPr>
        <w:t>los unen a su entorno y cultura.</w:t>
      </w:r>
    </w:p>
    <w:p w14:paraId="7C57E406" w14:textId="77777777" w:rsidR="004F3634" w:rsidRPr="004F3634" w:rsidRDefault="004F3634" w:rsidP="004F3634">
      <w:pPr>
        <w:spacing w:line="276" w:lineRule="auto"/>
        <w:rPr>
          <w:sz w:val="28"/>
          <w:lang w:val="es-ES"/>
        </w:rPr>
      </w:pPr>
    </w:p>
    <w:p w14:paraId="52D3A720" w14:textId="77777777" w:rsidR="00DF010C" w:rsidRPr="004F3634" w:rsidRDefault="00507331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>Las creaciones de los vínculos comunitarios pueden</w:t>
      </w:r>
      <w:r w:rsidR="00DF010C" w:rsidRPr="004F3634">
        <w:rPr>
          <w:sz w:val="28"/>
          <w:lang w:val="es-ES"/>
        </w:rPr>
        <w:t xml:space="preserve"> lograrse a través </w:t>
      </w:r>
      <w:r w:rsidRPr="004F3634">
        <w:rPr>
          <w:sz w:val="28"/>
          <w:lang w:val="es-ES"/>
        </w:rPr>
        <w:t xml:space="preserve">de la participación </w:t>
      </w:r>
      <w:r w:rsidR="006967E9" w:rsidRPr="004F3634">
        <w:rPr>
          <w:sz w:val="28"/>
          <w:lang w:val="es-ES"/>
        </w:rPr>
        <w:t xml:space="preserve">activa de los miembros de la comunidad en actividades y proyectos colectivos </w:t>
      </w:r>
      <w:r w:rsidR="004F3634" w:rsidRPr="004F3634">
        <w:rPr>
          <w:sz w:val="28"/>
          <w:lang w:val="es-ES"/>
        </w:rPr>
        <w:t>que promuevan el bienestar común.</w:t>
      </w:r>
    </w:p>
    <w:p w14:paraId="1CBF54AA" w14:textId="77777777" w:rsidR="004F3634" w:rsidRPr="004F3634" w:rsidRDefault="004F3634" w:rsidP="004F3634">
      <w:pPr>
        <w:spacing w:line="276" w:lineRule="auto"/>
        <w:rPr>
          <w:sz w:val="28"/>
          <w:lang w:val="es-ES"/>
        </w:rPr>
      </w:pPr>
    </w:p>
    <w:p w14:paraId="731FAFA8" w14:textId="77777777" w:rsidR="004F3634" w:rsidRPr="004F3634" w:rsidRDefault="004F3634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>La participación activa de los miembros de la comunidad en proyectos comunitarios no solo contribuye a la reconstrucción social, sino que también puede fortalecer la autoestima y la confianza de los individuos y mejora su capacidad de fortaleza ante futuros eventos.</w:t>
      </w:r>
    </w:p>
    <w:p w14:paraId="21A2BF30" w14:textId="77777777" w:rsidR="004F3634" w:rsidRPr="004F3634" w:rsidRDefault="004F3634" w:rsidP="004F3634">
      <w:pPr>
        <w:spacing w:line="276" w:lineRule="auto"/>
        <w:rPr>
          <w:sz w:val="28"/>
          <w:lang w:val="es-ES"/>
        </w:rPr>
      </w:pPr>
    </w:p>
    <w:p w14:paraId="7B8D515A" w14:textId="77777777" w:rsidR="004F3634" w:rsidRPr="004F3634" w:rsidRDefault="004F3634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>La creación de vínculos comunitarios también puede contribuir a la construcción de una identidad colectiva y a la preservación de la cultura y las tradiciones de la comunidad.</w:t>
      </w:r>
    </w:p>
    <w:p w14:paraId="7776DD62" w14:textId="77777777" w:rsidR="004F3634" w:rsidRPr="004F3634" w:rsidRDefault="004F3634" w:rsidP="004F3634">
      <w:pPr>
        <w:spacing w:line="276" w:lineRule="auto"/>
        <w:rPr>
          <w:sz w:val="28"/>
          <w:lang w:val="es-ES"/>
        </w:rPr>
      </w:pPr>
      <w:bookmarkStart w:id="0" w:name="_GoBack"/>
      <w:bookmarkEnd w:id="0"/>
    </w:p>
    <w:p w14:paraId="2617E3D3" w14:textId="77777777" w:rsidR="004F3634" w:rsidRPr="004F3634" w:rsidRDefault="004F3634" w:rsidP="004F3634">
      <w:pPr>
        <w:pStyle w:val="Prrafodelista"/>
        <w:numPr>
          <w:ilvl w:val="0"/>
          <w:numId w:val="2"/>
        </w:numPr>
        <w:spacing w:line="276" w:lineRule="auto"/>
        <w:rPr>
          <w:sz w:val="28"/>
          <w:lang w:val="es-ES"/>
        </w:rPr>
      </w:pPr>
      <w:r w:rsidRPr="004F3634">
        <w:rPr>
          <w:sz w:val="28"/>
          <w:lang w:val="es-ES"/>
        </w:rPr>
        <w:t xml:space="preserve">Es importante que los esfuerzos para crear y fortalecer vínculos comunitarios sean inclusivos y respetuosos de la diversidad de la comunidad, y que se promueva la participación activa de todos los miembros, incluyendo a los más vulnerables. </w:t>
      </w:r>
    </w:p>
    <w:sectPr w:rsidR="004F3634" w:rsidRPr="004F3634" w:rsidSect="009D3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1123B"/>
    <w:multiLevelType w:val="hybridMultilevel"/>
    <w:tmpl w:val="3C1EAA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99D"/>
    <w:multiLevelType w:val="hybridMultilevel"/>
    <w:tmpl w:val="B65A3A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0C"/>
    <w:rsid w:val="00155BCD"/>
    <w:rsid w:val="004F3634"/>
    <w:rsid w:val="00507331"/>
    <w:rsid w:val="006967E9"/>
    <w:rsid w:val="009D3309"/>
    <w:rsid w:val="00D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ADB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1</cp:revision>
  <dcterms:created xsi:type="dcterms:W3CDTF">2023-03-16T01:40:00Z</dcterms:created>
  <dcterms:modified xsi:type="dcterms:W3CDTF">2023-03-16T01:57:00Z</dcterms:modified>
</cp:coreProperties>
</file>