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68D9"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roofErr w:type="spellStart"/>
      <w:r w:rsidRPr="000C3444">
        <w:rPr>
          <w:rFonts w:ascii="Times New Roman" w:hAnsi="Times New Roman" w:cs="Times New Roman"/>
          <w:kern w:val="2"/>
          <w:sz w:val="48"/>
          <w:szCs w:val="48"/>
          <w:lang w:val="en-US"/>
          <w14:ligatures w14:val="standardContextual"/>
        </w:rPr>
        <w:t>Escuela</w:t>
      </w:r>
      <w:proofErr w:type="spellEnd"/>
      <w:r w:rsidRPr="000C3444">
        <w:rPr>
          <w:rFonts w:ascii="Times New Roman" w:hAnsi="Times New Roman" w:cs="Times New Roman"/>
          <w:kern w:val="2"/>
          <w:sz w:val="48"/>
          <w:szCs w:val="48"/>
          <w:lang w:val="en-US"/>
          <w14:ligatures w14:val="standardContextual"/>
        </w:rPr>
        <w:t xml:space="preserve"> Normal de </w:t>
      </w:r>
      <w:proofErr w:type="spellStart"/>
      <w:r w:rsidRPr="000C3444">
        <w:rPr>
          <w:rFonts w:ascii="Times New Roman" w:hAnsi="Times New Roman" w:cs="Times New Roman"/>
          <w:kern w:val="2"/>
          <w:sz w:val="48"/>
          <w:szCs w:val="48"/>
          <w:lang w:val="en-US"/>
          <w14:ligatures w14:val="standardContextual"/>
        </w:rPr>
        <w:t>educación</w:t>
      </w:r>
      <w:proofErr w:type="spellEnd"/>
      <w:r w:rsidRPr="000C3444">
        <w:rPr>
          <w:rFonts w:ascii="Times New Roman" w:hAnsi="Times New Roman" w:cs="Times New Roman"/>
          <w:kern w:val="2"/>
          <w:sz w:val="48"/>
          <w:szCs w:val="48"/>
          <w:lang w:val="en-US"/>
          <w14:ligatures w14:val="standardContextual"/>
        </w:rPr>
        <w:t xml:space="preserve"> </w:t>
      </w:r>
      <w:proofErr w:type="spellStart"/>
      <w:r w:rsidRPr="000C3444">
        <w:rPr>
          <w:rFonts w:ascii="Times New Roman" w:hAnsi="Times New Roman" w:cs="Times New Roman"/>
          <w:kern w:val="2"/>
          <w:sz w:val="48"/>
          <w:szCs w:val="48"/>
          <w:lang w:val="en-US"/>
          <w14:ligatures w14:val="standardContextual"/>
        </w:rPr>
        <w:t>preescolar</w:t>
      </w:r>
      <w:proofErr w:type="spellEnd"/>
    </w:p>
    <w:p w14:paraId="3B7A3F9F"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
    <w:p w14:paraId="5BE79B17"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r w:rsidRPr="000C3444">
        <w:rPr>
          <w:rFonts w:ascii="Times New Roman" w:hAnsi="Times New Roman" w:cs="Times New Roman"/>
          <w:kern w:val="2"/>
          <w:sz w:val="48"/>
          <w:szCs w:val="48"/>
          <w:lang w:val="en-US"/>
          <w14:ligatures w14:val="standardContextual"/>
        </w:rPr>
        <w:t xml:space="preserve">Alumna : Alexa </w:t>
      </w:r>
      <w:proofErr w:type="spellStart"/>
      <w:r w:rsidRPr="000C3444">
        <w:rPr>
          <w:rFonts w:ascii="Times New Roman" w:hAnsi="Times New Roman" w:cs="Times New Roman"/>
          <w:kern w:val="2"/>
          <w:sz w:val="48"/>
          <w:szCs w:val="48"/>
          <w:lang w:val="en-US"/>
          <w14:ligatures w14:val="standardContextual"/>
        </w:rPr>
        <w:t>Neftalí</w:t>
      </w:r>
      <w:proofErr w:type="spellEnd"/>
      <w:r w:rsidRPr="000C3444">
        <w:rPr>
          <w:rFonts w:ascii="Times New Roman" w:hAnsi="Times New Roman" w:cs="Times New Roman"/>
          <w:kern w:val="2"/>
          <w:sz w:val="48"/>
          <w:szCs w:val="48"/>
          <w:lang w:val="en-US"/>
          <w14:ligatures w14:val="standardContextual"/>
        </w:rPr>
        <w:t xml:space="preserve"> Ramírez Ruiz</w:t>
      </w:r>
    </w:p>
    <w:p w14:paraId="5F35A383"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
    <w:p w14:paraId="27CEB07C"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roofErr w:type="spellStart"/>
      <w:r w:rsidRPr="000C3444">
        <w:rPr>
          <w:rFonts w:ascii="Times New Roman" w:hAnsi="Times New Roman" w:cs="Times New Roman"/>
          <w:kern w:val="2"/>
          <w:sz w:val="48"/>
          <w:szCs w:val="48"/>
          <w:lang w:val="en-US"/>
          <w14:ligatures w14:val="standardContextual"/>
        </w:rPr>
        <w:t>Docente</w:t>
      </w:r>
      <w:proofErr w:type="spellEnd"/>
      <w:r w:rsidRPr="000C3444">
        <w:rPr>
          <w:rFonts w:ascii="Times New Roman" w:hAnsi="Times New Roman" w:cs="Times New Roman"/>
          <w:kern w:val="2"/>
          <w:sz w:val="48"/>
          <w:szCs w:val="48"/>
          <w:lang w:val="en-US"/>
          <w14:ligatures w14:val="standardContextual"/>
        </w:rPr>
        <w:t xml:space="preserve">: Rosa </w:t>
      </w:r>
      <w:proofErr w:type="spellStart"/>
      <w:r w:rsidRPr="000C3444">
        <w:rPr>
          <w:rFonts w:ascii="Times New Roman" w:hAnsi="Times New Roman" w:cs="Times New Roman"/>
          <w:kern w:val="2"/>
          <w:sz w:val="48"/>
          <w:szCs w:val="48"/>
          <w:lang w:val="en-US"/>
          <w14:ligatures w14:val="standardContextual"/>
        </w:rPr>
        <w:t>Velia</w:t>
      </w:r>
      <w:proofErr w:type="spellEnd"/>
      <w:r w:rsidRPr="000C3444">
        <w:rPr>
          <w:rFonts w:ascii="Times New Roman" w:hAnsi="Times New Roman" w:cs="Times New Roman"/>
          <w:kern w:val="2"/>
          <w:sz w:val="48"/>
          <w:szCs w:val="48"/>
          <w:lang w:val="en-US"/>
          <w14:ligatures w14:val="standardContextual"/>
        </w:rPr>
        <w:t xml:space="preserve"> del </w:t>
      </w:r>
      <w:proofErr w:type="spellStart"/>
      <w:r w:rsidRPr="000C3444">
        <w:rPr>
          <w:rFonts w:ascii="Times New Roman" w:hAnsi="Times New Roman" w:cs="Times New Roman"/>
          <w:kern w:val="2"/>
          <w:sz w:val="48"/>
          <w:szCs w:val="48"/>
          <w:lang w:val="en-US"/>
          <w14:ligatures w14:val="standardContextual"/>
        </w:rPr>
        <w:t>Río</w:t>
      </w:r>
      <w:proofErr w:type="spellEnd"/>
      <w:r w:rsidRPr="000C3444">
        <w:rPr>
          <w:rFonts w:ascii="Times New Roman" w:hAnsi="Times New Roman" w:cs="Times New Roman"/>
          <w:kern w:val="2"/>
          <w:sz w:val="48"/>
          <w:szCs w:val="48"/>
          <w:lang w:val="en-US"/>
          <w14:ligatures w14:val="standardContextual"/>
        </w:rPr>
        <w:t xml:space="preserve"> </w:t>
      </w:r>
      <w:proofErr w:type="spellStart"/>
      <w:r w:rsidRPr="000C3444">
        <w:rPr>
          <w:rFonts w:ascii="Times New Roman" w:hAnsi="Times New Roman" w:cs="Times New Roman"/>
          <w:kern w:val="2"/>
          <w:sz w:val="48"/>
          <w:szCs w:val="48"/>
          <w:lang w:val="en-US"/>
          <w14:ligatures w14:val="standardContextual"/>
        </w:rPr>
        <w:t>Tijerina</w:t>
      </w:r>
      <w:proofErr w:type="spellEnd"/>
    </w:p>
    <w:p w14:paraId="3F553AFF"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
    <w:p w14:paraId="43C51A15"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roofErr w:type="spellStart"/>
      <w:r w:rsidRPr="000C3444">
        <w:rPr>
          <w:rFonts w:ascii="Times New Roman" w:hAnsi="Times New Roman" w:cs="Times New Roman"/>
          <w:kern w:val="2"/>
          <w:sz w:val="48"/>
          <w:szCs w:val="48"/>
          <w:lang w:val="en-US"/>
          <w14:ligatures w14:val="standardContextual"/>
        </w:rPr>
        <w:t>Análisis</w:t>
      </w:r>
      <w:proofErr w:type="spellEnd"/>
      <w:r w:rsidRPr="000C3444">
        <w:rPr>
          <w:rFonts w:ascii="Times New Roman" w:hAnsi="Times New Roman" w:cs="Times New Roman"/>
          <w:kern w:val="2"/>
          <w:sz w:val="48"/>
          <w:szCs w:val="48"/>
          <w:lang w:val="en-US"/>
          <w14:ligatures w14:val="standardContextual"/>
        </w:rPr>
        <w:t xml:space="preserve"> de </w:t>
      </w:r>
      <w:proofErr w:type="spellStart"/>
      <w:r w:rsidRPr="000C3444">
        <w:rPr>
          <w:rFonts w:ascii="Times New Roman" w:hAnsi="Times New Roman" w:cs="Times New Roman"/>
          <w:kern w:val="2"/>
          <w:sz w:val="48"/>
          <w:szCs w:val="48"/>
          <w:lang w:val="en-US"/>
          <w14:ligatures w14:val="standardContextual"/>
        </w:rPr>
        <w:t>prácticas</w:t>
      </w:r>
      <w:proofErr w:type="spellEnd"/>
      <w:r w:rsidRPr="000C3444">
        <w:rPr>
          <w:rFonts w:ascii="Times New Roman" w:hAnsi="Times New Roman" w:cs="Times New Roman"/>
          <w:kern w:val="2"/>
          <w:sz w:val="48"/>
          <w:szCs w:val="48"/>
          <w:lang w:val="en-US"/>
          <w14:ligatures w14:val="standardContextual"/>
        </w:rPr>
        <w:t xml:space="preserve"> y </w:t>
      </w:r>
      <w:proofErr w:type="spellStart"/>
      <w:r w:rsidRPr="000C3444">
        <w:rPr>
          <w:rFonts w:ascii="Times New Roman" w:hAnsi="Times New Roman" w:cs="Times New Roman"/>
          <w:kern w:val="2"/>
          <w:sz w:val="48"/>
          <w:szCs w:val="48"/>
          <w:lang w:val="en-US"/>
          <w14:ligatures w14:val="standardContextual"/>
        </w:rPr>
        <w:t>contextos</w:t>
      </w:r>
      <w:proofErr w:type="spellEnd"/>
      <w:r w:rsidRPr="000C3444">
        <w:rPr>
          <w:rFonts w:ascii="Times New Roman" w:hAnsi="Times New Roman" w:cs="Times New Roman"/>
          <w:kern w:val="2"/>
          <w:sz w:val="48"/>
          <w:szCs w:val="48"/>
          <w:lang w:val="en-US"/>
          <w14:ligatures w14:val="standardContextual"/>
        </w:rPr>
        <w:t xml:space="preserve"> </w:t>
      </w:r>
      <w:proofErr w:type="spellStart"/>
      <w:r w:rsidRPr="000C3444">
        <w:rPr>
          <w:rFonts w:ascii="Times New Roman" w:hAnsi="Times New Roman" w:cs="Times New Roman"/>
          <w:kern w:val="2"/>
          <w:sz w:val="48"/>
          <w:szCs w:val="48"/>
          <w:lang w:val="en-US"/>
          <w14:ligatures w14:val="standardContextual"/>
        </w:rPr>
        <w:t>escolares</w:t>
      </w:r>
      <w:proofErr w:type="spellEnd"/>
    </w:p>
    <w:p w14:paraId="7B868279"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
    <w:p w14:paraId="72485CE8" w14:textId="3271F805" w:rsidR="000C3444" w:rsidRPr="000C3444" w:rsidRDefault="000C3444" w:rsidP="000C3444">
      <w:pPr>
        <w:jc w:val="center"/>
        <w:rPr>
          <w:rFonts w:ascii="Times New Roman" w:hAnsi="Times New Roman" w:cs="Times New Roman"/>
          <w:kern w:val="2"/>
          <w:sz w:val="48"/>
          <w:szCs w:val="48"/>
          <w:lang w:val="en-US"/>
          <w14:ligatures w14:val="standardContextual"/>
        </w:rPr>
      </w:pPr>
      <w:r w:rsidRPr="000C3444">
        <w:rPr>
          <w:rFonts w:ascii="Times New Roman" w:hAnsi="Times New Roman" w:cs="Times New Roman"/>
          <w:kern w:val="2"/>
          <w:sz w:val="48"/>
          <w:szCs w:val="48"/>
          <w:lang w:val="en-US"/>
          <w14:ligatures w14:val="standardContextual"/>
        </w:rPr>
        <w:t>“</w:t>
      </w:r>
      <w:proofErr w:type="spellStart"/>
      <w:r>
        <w:rPr>
          <w:rFonts w:ascii="Times New Roman" w:hAnsi="Times New Roman" w:cs="Times New Roman"/>
          <w:kern w:val="2"/>
          <w:sz w:val="48"/>
          <w:szCs w:val="48"/>
          <w:lang w:val="en-US"/>
          <w14:ligatures w14:val="standardContextual"/>
        </w:rPr>
        <w:t>Reporte</w:t>
      </w:r>
      <w:proofErr w:type="spellEnd"/>
      <w:r>
        <w:rPr>
          <w:rFonts w:ascii="Times New Roman" w:hAnsi="Times New Roman" w:cs="Times New Roman"/>
          <w:kern w:val="2"/>
          <w:sz w:val="48"/>
          <w:szCs w:val="48"/>
          <w:lang w:val="en-US"/>
          <w14:ligatures w14:val="standardContextual"/>
        </w:rPr>
        <w:t xml:space="preserve"> de </w:t>
      </w:r>
      <w:proofErr w:type="spellStart"/>
      <w:r>
        <w:rPr>
          <w:rFonts w:ascii="Times New Roman" w:hAnsi="Times New Roman" w:cs="Times New Roman"/>
          <w:kern w:val="2"/>
          <w:sz w:val="48"/>
          <w:szCs w:val="48"/>
          <w:lang w:val="en-US"/>
          <w14:ligatures w14:val="standardContextual"/>
        </w:rPr>
        <w:t>lectura</w:t>
      </w:r>
      <w:proofErr w:type="spellEnd"/>
      <w:r>
        <w:rPr>
          <w:rFonts w:ascii="Times New Roman" w:hAnsi="Times New Roman" w:cs="Times New Roman"/>
          <w:kern w:val="2"/>
          <w:sz w:val="48"/>
          <w:szCs w:val="48"/>
          <w:lang w:val="en-US"/>
          <w14:ligatures w14:val="standardContextual"/>
        </w:rPr>
        <w:t>”</w:t>
      </w:r>
    </w:p>
    <w:p w14:paraId="5D212159"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
    <w:p w14:paraId="5B0930EB"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r w:rsidRPr="000C3444">
        <w:rPr>
          <w:rFonts w:ascii="Times New Roman" w:hAnsi="Times New Roman" w:cs="Times New Roman"/>
          <w:kern w:val="2"/>
          <w:sz w:val="48"/>
          <w:szCs w:val="48"/>
          <w:lang w:val="en-US"/>
          <w14:ligatures w14:val="standardContextual"/>
        </w:rPr>
        <w:t>2022-2023</w:t>
      </w:r>
    </w:p>
    <w:p w14:paraId="0AA67C32"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
    <w:p w14:paraId="2FF72EF5"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roofErr w:type="spellStart"/>
      <w:r w:rsidRPr="000C3444">
        <w:rPr>
          <w:rFonts w:ascii="Times New Roman" w:hAnsi="Times New Roman" w:cs="Times New Roman"/>
          <w:kern w:val="2"/>
          <w:sz w:val="48"/>
          <w:szCs w:val="48"/>
          <w:lang w:val="en-US"/>
          <w14:ligatures w14:val="standardContextual"/>
        </w:rPr>
        <w:t>Licenciatura</w:t>
      </w:r>
      <w:proofErr w:type="spellEnd"/>
      <w:r w:rsidRPr="000C3444">
        <w:rPr>
          <w:rFonts w:ascii="Times New Roman" w:hAnsi="Times New Roman" w:cs="Times New Roman"/>
          <w:kern w:val="2"/>
          <w:sz w:val="48"/>
          <w:szCs w:val="48"/>
          <w:lang w:val="en-US"/>
          <w14:ligatures w14:val="standardContextual"/>
        </w:rPr>
        <w:t xml:space="preserve"> en </w:t>
      </w:r>
      <w:proofErr w:type="spellStart"/>
      <w:r w:rsidRPr="000C3444">
        <w:rPr>
          <w:rFonts w:ascii="Times New Roman" w:hAnsi="Times New Roman" w:cs="Times New Roman"/>
          <w:kern w:val="2"/>
          <w:sz w:val="48"/>
          <w:szCs w:val="48"/>
          <w:lang w:val="en-US"/>
          <w14:ligatures w14:val="standardContextual"/>
        </w:rPr>
        <w:t>educación</w:t>
      </w:r>
      <w:proofErr w:type="spellEnd"/>
      <w:r w:rsidRPr="000C3444">
        <w:rPr>
          <w:rFonts w:ascii="Times New Roman" w:hAnsi="Times New Roman" w:cs="Times New Roman"/>
          <w:kern w:val="2"/>
          <w:sz w:val="48"/>
          <w:szCs w:val="48"/>
          <w:lang w:val="en-US"/>
          <w14:ligatures w14:val="standardContextual"/>
        </w:rPr>
        <w:t xml:space="preserve"> </w:t>
      </w:r>
      <w:proofErr w:type="spellStart"/>
      <w:r w:rsidRPr="000C3444">
        <w:rPr>
          <w:rFonts w:ascii="Times New Roman" w:hAnsi="Times New Roman" w:cs="Times New Roman"/>
          <w:kern w:val="2"/>
          <w:sz w:val="48"/>
          <w:szCs w:val="48"/>
          <w:lang w:val="en-US"/>
          <w14:ligatures w14:val="standardContextual"/>
        </w:rPr>
        <w:t>preescolar</w:t>
      </w:r>
      <w:proofErr w:type="spellEnd"/>
      <w:r w:rsidRPr="000C3444">
        <w:rPr>
          <w:rFonts w:ascii="Times New Roman" w:hAnsi="Times New Roman" w:cs="Times New Roman"/>
          <w:kern w:val="2"/>
          <w:sz w:val="48"/>
          <w:szCs w:val="48"/>
          <w:lang w:val="en-US"/>
          <w14:ligatures w14:val="standardContextual"/>
        </w:rPr>
        <w:t xml:space="preserve">.                                                                   </w:t>
      </w:r>
    </w:p>
    <w:p w14:paraId="38D12799"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p>
    <w:p w14:paraId="4AE8F412" w14:textId="77777777" w:rsidR="000C3444" w:rsidRPr="000C3444" w:rsidRDefault="000C3444" w:rsidP="000C3444">
      <w:pPr>
        <w:jc w:val="center"/>
        <w:rPr>
          <w:rFonts w:ascii="Times New Roman" w:hAnsi="Times New Roman" w:cs="Times New Roman"/>
          <w:kern w:val="2"/>
          <w:sz w:val="48"/>
          <w:szCs w:val="48"/>
          <w:lang w:val="en-US"/>
          <w14:ligatures w14:val="standardContextual"/>
        </w:rPr>
      </w:pPr>
      <w:r w:rsidRPr="000C3444">
        <w:rPr>
          <w:noProof/>
          <w:kern w:val="2"/>
          <w14:ligatures w14:val="standardContextual"/>
        </w:rPr>
        <w:drawing>
          <wp:anchor distT="0" distB="0" distL="114300" distR="114300" simplePos="0" relativeHeight="251659264" behindDoc="0" locked="0" layoutInCell="1" allowOverlap="1" wp14:anchorId="1655B945" wp14:editId="71B13C2B">
            <wp:simplePos x="0" y="0"/>
            <wp:positionH relativeFrom="column">
              <wp:posOffset>-1270</wp:posOffset>
            </wp:positionH>
            <wp:positionV relativeFrom="paragraph">
              <wp:posOffset>356235</wp:posOffset>
            </wp:positionV>
            <wp:extent cx="2999105" cy="299910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999105" cy="2999105"/>
                    </a:xfrm>
                    <a:prstGeom prst="rect">
                      <a:avLst/>
                    </a:prstGeom>
                  </pic:spPr>
                </pic:pic>
              </a:graphicData>
            </a:graphic>
            <wp14:sizeRelH relativeFrom="margin">
              <wp14:pctWidth>0</wp14:pctWidth>
            </wp14:sizeRelH>
            <wp14:sizeRelV relativeFrom="margin">
              <wp14:pctHeight>0</wp14:pctHeight>
            </wp14:sizeRelV>
          </wp:anchor>
        </w:drawing>
      </w:r>
    </w:p>
    <w:p w14:paraId="05B70064" w14:textId="77777777" w:rsidR="000C3444" w:rsidRPr="000C3444" w:rsidRDefault="000C3444" w:rsidP="000C3444">
      <w:pPr>
        <w:rPr>
          <w:rFonts w:ascii="Times New Roman" w:hAnsi="Times New Roman" w:cs="Times New Roman"/>
          <w:kern w:val="2"/>
          <w:sz w:val="48"/>
          <w:szCs w:val="48"/>
          <w:lang w:val="en-US"/>
          <w14:ligatures w14:val="standardContextual"/>
        </w:rPr>
      </w:pPr>
    </w:p>
    <w:p w14:paraId="55D1D7A8" w14:textId="77777777" w:rsidR="00DC23B0" w:rsidRPr="006102F0" w:rsidRDefault="00DC23B0" w:rsidP="00DC23B0">
      <w:pPr>
        <w:rPr>
          <w:rFonts w:ascii="Arial" w:hAnsi="Arial" w:cs="Arial"/>
          <w:sz w:val="28"/>
          <w:szCs w:val="28"/>
        </w:rPr>
      </w:pPr>
      <w:r w:rsidRPr="006102F0">
        <w:rPr>
          <w:rFonts w:ascii="Arial" w:hAnsi="Arial" w:cs="Arial"/>
          <w:sz w:val="28"/>
          <w:szCs w:val="28"/>
        </w:rPr>
        <w:lastRenderedPageBreak/>
        <w:t>El texto plantea que nos encontramos en una época de crisis y agotamiento de las seguridades que antes nos permitían entender y actuar en la vida social. La crisis de las ciencias sociales y el desmantelamiento del Estado de Bienestar, así como los rápidos cambios asociados a la globalización y la expansión del capitalismo, han puesto en duda las certezas que predominaron durante décadas.</w:t>
      </w:r>
    </w:p>
    <w:p w14:paraId="6E4B2889" w14:textId="77777777" w:rsidR="00DC23B0" w:rsidRPr="006102F0" w:rsidRDefault="00DC23B0" w:rsidP="00DC23B0">
      <w:pPr>
        <w:rPr>
          <w:rFonts w:ascii="Arial" w:hAnsi="Arial" w:cs="Arial"/>
          <w:sz w:val="28"/>
          <w:szCs w:val="28"/>
        </w:rPr>
      </w:pPr>
    </w:p>
    <w:p w14:paraId="545F0E2C" w14:textId="77777777" w:rsidR="00DC23B0" w:rsidRPr="006102F0" w:rsidRDefault="00DC23B0" w:rsidP="00DC23B0">
      <w:pPr>
        <w:rPr>
          <w:rFonts w:ascii="Arial" w:hAnsi="Arial" w:cs="Arial"/>
          <w:sz w:val="28"/>
          <w:szCs w:val="28"/>
        </w:rPr>
      </w:pPr>
      <w:r w:rsidRPr="006102F0">
        <w:rPr>
          <w:rFonts w:ascii="Arial" w:hAnsi="Arial" w:cs="Arial"/>
          <w:sz w:val="28"/>
          <w:szCs w:val="28"/>
        </w:rPr>
        <w:t>En este contexto, el texto sugiere que es necesario reconsiderar críticamente conceptos como comunidad y lo comunitario. Aunque estos términos son comunes en discursos políticos, planificación, activismo social y educación, la imagen idealizada de la comunidad como una forma unitaria y homogénea de vida social puede ocultar las diferencias, tensiones y conflictos de la vida social.</w:t>
      </w:r>
    </w:p>
    <w:p w14:paraId="5DAF984E" w14:textId="77777777" w:rsidR="00DC23B0" w:rsidRPr="006102F0" w:rsidRDefault="00DC23B0" w:rsidP="00DC23B0">
      <w:pPr>
        <w:rPr>
          <w:rFonts w:ascii="Arial" w:hAnsi="Arial" w:cs="Arial"/>
          <w:sz w:val="28"/>
          <w:szCs w:val="28"/>
        </w:rPr>
      </w:pPr>
    </w:p>
    <w:p w14:paraId="4D593336" w14:textId="3472DEE0" w:rsidR="000C3444" w:rsidRPr="006102F0" w:rsidRDefault="00DC23B0">
      <w:pPr>
        <w:rPr>
          <w:rFonts w:ascii="Arial" w:hAnsi="Arial" w:cs="Arial"/>
          <w:sz w:val="28"/>
          <w:szCs w:val="28"/>
        </w:rPr>
      </w:pPr>
      <w:r w:rsidRPr="006102F0">
        <w:rPr>
          <w:rFonts w:ascii="Arial" w:hAnsi="Arial" w:cs="Arial"/>
          <w:sz w:val="28"/>
          <w:szCs w:val="28"/>
        </w:rPr>
        <w:t>El texto destaca que la noción de comunidad suele estar asociada a un territorio, pero esta imagen idealizada e ideologizada de comunidad puede invisibilizar las diferencias y conflictos de la vida social. Por tanto, las posiciones entusiastas y escépticas frente a lo comunitario están atrapadas en la misma imagen de comunidad, lo que lleva a asociar lo comunitario con lo rural, lo popular y lo local, realidades que son vistas como esencias unitarias y homogéneas propias del pasado. En resumen, el texto sugiere que es necesario reflexionar críticamente sobre la noción de comunidad y lo comunitario en el contexto actual de complejidad social.</w:t>
      </w:r>
    </w:p>
    <w:p w14:paraId="587F73B0" w14:textId="66775DD5" w:rsidR="00601CE6" w:rsidRPr="006102F0" w:rsidRDefault="00601CE6">
      <w:pPr>
        <w:rPr>
          <w:rFonts w:ascii="Arial" w:hAnsi="Arial" w:cs="Arial"/>
          <w:sz w:val="28"/>
          <w:szCs w:val="28"/>
        </w:rPr>
      </w:pPr>
      <w:r w:rsidRPr="006102F0">
        <w:rPr>
          <w:rFonts w:ascii="Arial" w:hAnsi="Arial" w:cs="Arial"/>
          <w:sz w:val="28"/>
          <w:szCs w:val="28"/>
        </w:rPr>
        <w:t>También nos menciona que la importancia que la comunidad ha tenido en la sociología, como concepto, realidad empírica y valor social. La comunidad se diferenció de los nuevos valores y vínculos que introdujo la vida urbana y la economía capitalista del siglo XIX. El sociólogo alemán Ferdinand Tönnies introdujo el término "gemeinschaft" para referirse a una relación social basada en nexos subjetivos fuertes como los sentimientos, la proximidad territorial, las creencias y las tradiciones comunes. Por otro lado, la expresión "gesellschaft" se considera un tipo de relación social caracterizado por un alto grado de individualidad, impersonalidad y contractualismo, basado en el interés y la racionalidad. Aunque son tipos ideales, Tönnies señala que los vínculos comunitarios y societarios no son excluyentes empíricamente. El texto también menciona que los planteamientos de Tönnies fueron retomados por Max Weber, quien consideraba que la comunidad generaba un sentido de pertenencia basado en fundamentos afectivos, emotivos y tradicionales.</w:t>
      </w:r>
    </w:p>
    <w:p w14:paraId="103363E5" w14:textId="77777777" w:rsidR="00C1793C" w:rsidRPr="006102F0" w:rsidRDefault="00CC4F83">
      <w:pPr>
        <w:pStyle w:val="p1"/>
        <w:divId w:val="1047335076"/>
        <w:rPr>
          <w:rFonts w:ascii="Arial" w:hAnsi="Arial" w:cs="Arial"/>
          <w:sz w:val="28"/>
          <w:szCs w:val="28"/>
        </w:rPr>
      </w:pPr>
      <w:r w:rsidRPr="006102F0">
        <w:rPr>
          <w:rFonts w:ascii="Arial" w:hAnsi="Arial" w:cs="Arial"/>
          <w:sz w:val="28"/>
          <w:szCs w:val="28"/>
        </w:rPr>
        <w:lastRenderedPageBreak/>
        <w:t xml:space="preserve">Como conclusión tenemos que </w:t>
      </w:r>
      <w:r w:rsidR="00C1793C" w:rsidRPr="006102F0">
        <w:rPr>
          <w:rStyle w:val="s1"/>
          <w:rFonts w:ascii="Arial" w:hAnsi="Arial" w:cs="Arial"/>
          <w:sz w:val="28"/>
          <w:szCs w:val="28"/>
        </w:rPr>
        <w:t>Alfonso Torres Carrillo explora la importancia de los vínculos comunitarios en la construcción de sociedades más justas y equitativas. El autor destaca que las relaciones sociales son fundamentales para la construcción de identidades y la formación de comunidades.</w:t>
      </w:r>
    </w:p>
    <w:p w14:paraId="1E8BFDC4" w14:textId="77777777" w:rsidR="00C1793C" w:rsidRPr="006102F0" w:rsidRDefault="00C1793C">
      <w:pPr>
        <w:pStyle w:val="p1"/>
        <w:divId w:val="1047335076"/>
        <w:rPr>
          <w:rFonts w:ascii="Arial" w:hAnsi="Arial" w:cs="Arial"/>
          <w:sz w:val="28"/>
          <w:szCs w:val="28"/>
        </w:rPr>
      </w:pPr>
      <w:r w:rsidRPr="006102F0">
        <w:rPr>
          <w:rStyle w:val="s1"/>
          <w:rFonts w:ascii="Arial" w:hAnsi="Arial" w:cs="Arial"/>
          <w:sz w:val="28"/>
          <w:szCs w:val="28"/>
        </w:rPr>
        <w:t>En este sentido, Torres Carrillo plantea que la construcción de vínculos comunitarios se basa en la confianza, el compromiso y la solidaridad entre las personas. Asimismo, destaca que estos vínculos pueden ser fomentados por organizaciones sociales y políticas que promuevan la participación ciudadana y el diálogo constructivo.</w:t>
      </w:r>
    </w:p>
    <w:p w14:paraId="7B931D2B" w14:textId="77777777" w:rsidR="00C1793C" w:rsidRPr="006102F0" w:rsidRDefault="00C1793C">
      <w:pPr>
        <w:pStyle w:val="p1"/>
        <w:divId w:val="1047335076"/>
        <w:rPr>
          <w:rFonts w:ascii="Arial" w:hAnsi="Arial" w:cs="Arial"/>
          <w:sz w:val="28"/>
          <w:szCs w:val="28"/>
        </w:rPr>
      </w:pPr>
      <w:r w:rsidRPr="006102F0">
        <w:rPr>
          <w:rStyle w:val="s1"/>
          <w:rFonts w:ascii="Arial" w:hAnsi="Arial" w:cs="Arial"/>
          <w:sz w:val="28"/>
          <w:szCs w:val="28"/>
        </w:rPr>
        <w:t>El autor también aborda la importancia de la educación en la construcción de vínculos comunitarios, ya que permite a las personas desarrollar habilidades sociales y emocionales que son fundamentales para la formación de relaciones saludables y el fortalecimiento de la cohesión social.</w:t>
      </w:r>
    </w:p>
    <w:p w14:paraId="55D2FA13" w14:textId="77777777" w:rsidR="00C1793C" w:rsidRPr="006102F0" w:rsidRDefault="00C1793C">
      <w:pPr>
        <w:pStyle w:val="p1"/>
        <w:divId w:val="1047335076"/>
        <w:rPr>
          <w:rFonts w:ascii="Arial" w:hAnsi="Arial" w:cs="Arial"/>
          <w:sz w:val="28"/>
          <w:szCs w:val="28"/>
        </w:rPr>
      </w:pPr>
      <w:r w:rsidRPr="006102F0">
        <w:rPr>
          <w:rStyle w:val="s1"/>
          <w:rFonts w:ascii="Arial" w:hAnsi="Arial" w:cs="Arial"/>
          <w:sz w:val="28"/>
          <w:szCs w:val="28"/>
        </w:rPr>
        <w:t>Finalmente, Torres Carrillo destaca que la construcción de vínculos comunitarios no es una tarea fácil, ya que requiere un compromiso y una participación activa de las personas y las organizaciones. Sin embargo, sostiene que es un proceso fundamental para la reconstrucción social y el desarrollo de sociedades más justas y democráticas.</w:t>
      </w:r>
    </w:p>
    <w:p w14:paraId="6B82E3A3" w14:textId="19D083B2" w:rsidR="00CC4F83" w:rsidRPr="006102F0" w:rsidRDefault="00CC4F83">
      <w:pPr>
        <w:rPr>
          <w:rFonts w:ascii="Arial" w:hAnsi="Arial" w:cs="Arial"/>
          <w:sz w:val="28"/>
          <w:szCs w:val="28"/>
        </w:rPr>
      </w:pPr>
    </w:p>
    <w:sectPr w:rsidR="00CC4F83" w:rsidRPr="006102F0">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44"/>
    <w:rsid w:val="000C3444"/>
    <w:rsid w:val="00601CE6"/>
    <w:rsid w:val="006102F0"/>
    <w:rsid w:val="007B3A5C"/>
    <w:rsid w:val="00C1793C"/>
    <w:rsid w:val="00CC4F83"/>
    <w:rsid w:val="00D767C6"/>
    <w:rsid w:val="00DC23B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31666436"/>
  <w15:chartTrackingRefBased/>
  <w15:docId w15:val="{73658430-7658-D14D-9717-EE8AF14E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E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C1793C"/>
    <w:rPr>
      <w:rFonts w:ascii=".AppleSystemUIFont" w:hAnsi=".AppleSystemUIFont" w:cs="Times New Roman"/>
      <w:sz w:val="26"/>
      <w:szCs w:val="26"/>
    </w:rPr>
  </w:style>
  <w:style w:type="character" w:customStyle="1" w:styleId="s1">
    <w:name w:val="s1"/>
    <w:basedOn w:val="Fuentedeprrafopredeter"/>
    <w:rsid w:val="00C1793C"/>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3408</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ISRAEL RAMIREZ RUIZ</dc:creator>
  <cp:keywords/>
  <dc:description/>
  <cp:lastModifiedBy>AXEL ISRAEL RAMIREZ RUIZ</cp:lastModifiedBy>
  <cp:revision>2</cp:revision>
  <dcterms:created xsi:type="dcterms:W3CDTF">2023-03-21T18:50:00Z</dcterms:created>
  <dcterms:modified xsi:type="dcterms:W3CDTF">2023-03-21T18:50:00Z</dcterms:modified>
</cp:coreProperties>
</file>