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B057" w14:textId="07875FE9" w:rsidR="00F44519" w:rsidRDefault="00A366E8" w:rsidP="00F11E36">
      <w:pPr>
        <w:pStyle w:val="Ttul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EB8D6" wp14:editId="6D30B913">
                <wp:simplePos x="0" y="0"/>
                <wp:positionH relativeFrom="column">
                  <wp:posOffset>-1270</wp:posOffset>
                </wp:positionH>
                <wp:positionV relativeFrom="paragraph">
                  <wp:posOffset>581025</wp:posOffset>
                </wp:positionV>
                <wp:extent cx="5394960" cy="91440"/>
                <wp:effectExtent l="0" t="0" r="15240" b="101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91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D26F4" id="Rectángulo 3" o:spid="_x0000_s1026" style="position:absolute;margin-left:-.1pt;margin-top:45.75pt;width:424.8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" fillcolor="#ffa0ab [1941]" strokecolor="#ffa0ab [1941]" strokeweight="1pt"/>
            </w:pict>
          </mc:Fallback>
        </mc:AlternateContent>
      </w:r>
      <w:r w:rsidR="00F11E36">
        <w:rPr>
          <w:sz w:val="40"/>
          <w:szCs w:val="40"/>
        </w:rPr>
        <w:t>2</w:t>
      </w:r>
      <w:r w:rsidR="0004683C">
        <w:rPr>
          <w:sz w:val="40"/>
          <w:szCs w:val="40"/>
        </w:rPr>
        <w:t>1/03/2023</w:t>
      </w:r>
    </w:p>
    <w:p w14:paraId="3DD6CBBA" w14:textId="2B093EE0" w:rsidR="00F44519" w:rsidRDefault="000309D7" w:rsidP="00252C7F">
      <w:pPr>
        <w:pStyle w:val="Ttulo1"/>
        <w:jc w:val="center"/>
        <w:rPr>
          <w:sz w:val="42"/>
          <w:szCs w:val="42"/>
        </w:rPr>
      </w:pPr>
      <w:r w:rsidRPr="002451F0">
        <w:rPr>
          <w:sz w:val="42"/>
          <w:szCs w:val="42"/>
        </w:rPr>
        <w:t>Escuela Normal de Educación Preescolar</w:t>
      </w:r>
    </w:p>
    <w:p w14:paraId="1CBDEF45" w14:textId="13E7FEF2" w:rsidR="000B66C7" w:rsidRDefault="000B66C7" w:rsidP="00252C7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Licenciatura en Educación Preescolar</w:t>
      </w:r>
    </w:p>
    <w:p w14:paraId="4FDA43E0" w14:textId="2C929821" w:rsidR="000B66C7" w:rsidRDefault="00E67656" w:rsidP="00252C7F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5E040C7" wp14:editId="15A89923">
            <wp:simplePos x="0" y="0"/>
            <wp:positionH relativeFrom="column">
              <wp:posOffset>1187450</wp:posOffset>
            </wp:positionH>
            <wp:positionV relativeFrom="paragraph">
              <wp:posOffset>556260</wp:posOffset>
            </wp:positionV>
            <wp:extent cx="2816225" cy="2816225"/>
            <wp:effectExtent l="0" t="0" r="3175" b="317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6C7">
        <w:rPr>
          <w:b/>
          <w:bCs/>
          <w:sz w:val="40"/>
          <w:szCs w:val="40"/>
        </w:rPr>
        <w:t>Ciclo escolar 2022-2023</w:t>
      </w:r>
    </w:p>
    <w:p w14:paraId="36846EFE" w14:textId="77777777" w:rsidR="006A049D" w:rsidRDefault="006A049D" w:rsidP="00252C7F">
      <w:pPr>
        <w:jc w:val="center"/>
        <w:rPr>
          <w:b/>
          <w:bCs/>
          <w:sz w:val="40"/>
          <w:szCs w:val="40"/>
        </w:rPr>
      </w:pPr>
    </w:p>
    <w:p w14:paraId="6FE8A1C4" w14:textId="5BE04F93" w:rsidR="000B66C7" w:rsidRDefault="005668DB" w:rsidP="00252C7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Análisis de </w:t>
      </w:r>
      <w:r w:rsidR="000A06BD">
        <w:rPr>
          <w:b/>
          <w:bCs/>
          <w:sz w:val="40"/>
          <w:szCs w:val="40"/>
        </w:rPr>
        <w:t xml:space="preserve">prácticas </w:t>
      </w:r>
      <w:r>
        <w:rPr>
          <w:b/>
          <w:bCs/>
          <w:sz w:val="40"/>
          <w:szCs w:val="40"/>
        </w:rPr>
        <w:t>y contextos escolares</w:t>
      </w:r>
    </w:p>
    <w:p w14:paraId="5E538868" w14:textId="03EC9582" w:rsidR="008575EB" w:rsidRDefault="008575EB" w:rsidP="00252C7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Profe. </w:t>
      </w:r>
      <w:r w:rsidR="006A049D">
        <w:rPr>
          <w:b/>
          <w:bCs/>
          <w:sz w:val="40"/>
          <w:szCs w:val="40"/>
        </w:rPr>
        <w:t>Rosa Velia</w:t>
      </w:r>
      <w:r w:rsidR="00E64F4B">
        <w:rPr>
          <w:b/>
          <w:bCs/>
          <w:sz w:val="40"/>
          <w:szCs w:val="40"/>
        </w:rPr>
        <w:t xml:space="preserve"> del Río Tijerina</w:t>
      </w:r>
    </w:p>
    <w:p w14:paraId="32B2CE3C" w14:textId="6CCB5447" w:rsidR="008575EB" w:rsidRDefault="008575EB" w:rsidP="00252C7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María Fernanda Luis Martinez</w:t>
      </w:r>
    </w:p>
    <w:p w14:paraId="4F6D16FC" w14:textId="64C1E7FC" w:rsidR="008575EB" w:rsidRDefault="00252C7F" w:rsidP="00252C7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</w:t>
      </w:r>
      <w:r w:rsidR="002037E2">
        <w:rPr>
          <w:b/>
          <w:bCs/>
          <w:sz w:val="40"/>
          <w:szCs w:val="40"/>
        </w:rPr>
        <w:t>Reporte de lectura”</w:t>
      </w:r>
    </w:p>
    <w:p w14:paraId="70C144C5" w14:textId="3FB5DC0C" w:rsidR="00F13A1C" w:rsidRDefault="00252C7F" w:rsidP="006A049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="006A049D">
        <w:rPr>
          <w:b/>
          <w:bCs/>
          <w:sz w:val="40"/>
          <w:szCs w:val="40"/>
        </w:rPr>
        <w:t>ª</w:t>
      </w:r>
    </w:p>
    <w:p w14:paraId="3EC79785" w14:textId="77777777" w:rsidR="00F13A1C" w:rsidRDefault="00F13A1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769EBF69" w14:textId="4EEE815B" w:rsidR="008B1E64" w:rsidRPr="00A2488E" w:rsidRDefault="00C768E0" w:rsidP="00A2488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2488E">
        <w:rPr>
          <w:rFonts w:ascii="Arial" w:hAnsi="Arial" w:cs="Arial"/>
          <w:sz w:val="28"/>
          <w:szCs w:val="28"/>
        </w:rPr>
        <w:lastRenderedPageBreak/>
        <w:t>La comunidad</w:t>
      </w:r>
    </w:p>
    <w:p w14:paraId="32573FF7" w14:textId="12741C6E" w:rsidR="00C768E0" w:rsidRPr="00A2488E" w:rsidRDefault="00F95F37" w:rsidP="00A2488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2488E">
        <w:rPr>
          <w:rFonts w:ascii="Arial" w:hAnsi="Arial" w:cs="Arial"/>
          <w:sz w:val="28"/>
          <w:szCs w:val="28"/>
        </w:rPr>
        <w:t xml:space="preserve">Las referencias a la comunidad </w:t>
      </w:r>
      <w:r w:rsidR="00C64820" w:rsidRPr="00A2488E">
        <w:rPr>
          <w:rFonts w:ascii="Arial" w:hAnsi="Arial" w:cs="Arial"/>
          <w:sz w:val="28"/>
          <w:szCs w:val="28"/>
        </w:rPr>
        <w:t xml:space="preserve">y a lo comunitario son comunes en los discursos de políticos, planificadores, activistas sociales y educadores; expresiones </w:t>
      </w:r>
      <w:r w:rsidR="003E42B4" w:rsidRPr="00A2488E">
        <w:rPr>
          <w:rFonts w:ascii="Arial" w:hAnsi="Arial" w:cs="Arial"/>
          <w:sz w:val="28"/>
          <w:szCs w:val="28"/>
        </w:rPr>
        <w:t xml:space="preserve">como comunidad universitaria, comunidad escolar y dejan </w:t>
      </w:r>
      <w:r w:rsidR="00BD7CA0" w:rsidRPr="00A2488E">
        <w:rPr>
          <w:rFonts w:ascii="Arial" w:hAnsi="Arial" w:cs="Arial"/>
          <w:sz w:val="28"/>
          <w:szCs w:val="28"/>
        </w:rPr>
        <w:t>de ver la laxitud con que se le usa; mas que un concepto comunidad se a convertido en una imagen que es más  lo que oculta que lo que permite ver pues tiende a identificarse con formar unitarias y homogéneas de vida social en las que prevalecen intereses y fines comunes.</w:t>
      </w:r>
    </w:p>
    <w:p w14:paraId="66E6028F" w14:textId="20AE35C1" w:rsidR="00BD7CA0" w:rsidRPr="00A2488E" w:rsidRDefault="001108A2" w:rsidP="00A2488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2488E">
        <w:rPr>
          <w:rFonts w:ascii="Arial" w:hAnsi="Arial" w:cs="Arial"/>
          <w:sz w:val="28"/>
          <w:szCs w:val="28"/>
        </w:rPr>
        <w:t xml:space="preserve">La expresión comunidad despierta entusiasmo y simpatía al evocar idílicos esquemas </w:t>
      </w:r>
      <w:r w:rsidR="005B6383" w:rsidRPr="00A2488E">
        <w:rPr>
          <w:rFonts w:ascii="Arial" w:hAnsi="Arial" w:cs="Arial"/>
          <w:sz w:val="28"/>
          <w:szCs w:val="28"/>
        </w:rPr>
        <w:t>de vida local unitaria; para otros genera sospecha y al ver en ella una noción anacrónica heredada de un cristianismo ingenuo o un populismo romántico.</w:t>
      </w:r>
    </w:p>
    <w:p w14:paraId="49E36458" w14:textId="7BD81DCF" w:rsidR="00216E81" w:rsidRPr="00A2488E" w:rsidRDefault="00216E81" w:rsidP="00A2488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2488E">
        <w:rPr>
          <w:rFonts w:ascii="Arial" w:hAnsi="Arial" w:cs="Arial"/>
          <w:sz w:val="28"/>
          <w:szCs w:val="28"/>
        </w:rPr>
        <w:t>Desde finales del siglo XX es común encontrar en la literatura sociológica y política reivi</w:t>
      </w:r>
      <w:r w:rsidR="003359E6" w:rsidRPr="00A2488E">
        <w:rPr>
          <w:rFonts w:ascii="Arial" w:hAnsi="Arial" w:cs="Arial"/>
          <w:sz w:val="28"/>
          <w:szCs w:val="28"/>
        </w:rPr>
        <w:t>ndicaciones a lo comunitario como concepto explicativo de procesos y vínculos sociales emergentes en el seno de las sociedades modernas globalizadas.</w:t>
      </w:r>
    </w:p>
    <w:p w14:paraId="6F577E17" w14:textId="62D53A8D" w:rsidR="003359E6" w:rsidRPr="00A2488E" w:rsidRDefault="00B93295" w:rsidP="00A2488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2488E">
        <w:rPr>
          <w:rFonts w:ascii="Arial" w:hAnsi="Arial" w:cs="Arial"/>
          <w:sz w:val="28"/>
          <w:szCs w:val="28"/>
        </w:rPr>
        <w:t xml:space="preserve">Lo comunitario en la tradición sociológica </w:t>
      </w:r>
    </w:p>
    <w:p w14:paraId="4D1C8E07" w14:textId="42A19FE2" w:rsidR="00B93295" w:rsidRPr="00A2488E" w:rsidRDefault="00020782" w:rsidP="00A2488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2488E">
        <w:rPr>
          <w:rFonts w:ascii="Arial" w:hAnsi="Arial" w:cs="Arial"/>
          <w:sz w:val="28"/>
          <w:szCs w:val="28"/>
        </w:rPr>
        <w:t xml:space="preserve">En el contexto de los rápidos y radicales cambios que introdujeron las revoluciones francesa e industrial, uno de los debates </w:t>
      </w:r>
      <w:r w:rsidR="00232E8D" w:rsidRPr="00A2488E">
        <w:rPr>
          <w:rFonts w:ascii="Arial" w:hAnsi="Arial" w:cs="Arial"/>
          <w:sz w:val="28"/>
          <w:szCs w:val="28"/>
        </w:rPr>
        <w:t>constitutivos de la sociología fue el referido a la comunidad, ya fuese como realidad empírica, como concepto o como valor social.</w:t>
      </w:r>
    </w:p>
    <w:p w14:paraId="2EBEBFAC" w14:textId="2D92EFFA" w:rsidR="00232E8D" w:rsidRPr="00A2488E" w:rsidRDefault="00BB13CE" w:rsidP="00A2488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2488E">
        <w:rPr>
          <w:rFonts w:ascii="Arial" w:hAnsi="Arial" w:cs="Arial"/>
          <w:sz w:val="28"/>
          <w:szCs w:val="28"/>
        </w:rPr>
        <w:t xml:space="preserve">Lo comunitario según gemeinschaft se refiere a un </w:t>
      </w:r>
      <w:r w:rsidR="006D5606" w:rsidRPr="00A2488E">
        <w:rPr>
          <w:rFonts w:ascii="Arial" w:hAnsi="Arial" w:cs="Arial"/>
          <w:sz w:val="28"/>
          <w:szCs w:val="28"/>
        </w:rPr>
        <w:t xml:space="preserve">tipo de relación social basado en nexos subjetivos fuertes como los sentimientos, la </w:t>
      </w:r>
      <w:r w:rsidR="006D5606" w:rsidRPr="00A2488E">
        <w:rPr>
          <w:rFonts w:ascii="Arial" w:hAnsi="Arial" w:cs="Arial"/>
          <w:sz w:val="28"/>
          <w:szCs w:val="28"/>
        </w:rPr>
        <w:lastRenderedPageBreak/>
        <w:t xml:space="preserve">proximidad territorial, las creencias y las tradiciones comunes, </w:t>
      </w:r>
      <w:r w:rsidR="00A14EBB" w:rsidRPr="00A2488E">
        <w:rPr>
          <w:rFonts w:ascii="Arial" w:hAnsi="Arial" w:cs="Arial"/>
          <w:sz w:val="28"/>
          <w:szCs w:val="28"/>
        </w:rPr>
        <w:t xml:space="preserve">como es el caso de los vínculos de parentesco, de vecindad y de amistad, en lo comunitario predomina lo colectivo sobre lo individual y lo íntimo frente a lo público. </w:t>
      </w:r>
    </w:p>
    <w:p w14:paraId="7C0F145E" w14:textId="1AF51BAB" w:rsidR="00CD1C86" w:rsidRPr="00A2488E" w:rsidRDefault="00CD1C86" w:rsidP="00A2488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2488E">
        <w:rPr>
          <w:rFonts w:ascii="Arial" w:hAnsi="Arial" w:cs="Arial"/>
          <w:sz w:val="28"/>
          <w:szCs w:val="28"/>
        </w:rPr>
        <w:t xml:space="preserve">De lo contrario, gesellschaft es considerada como un tipo de relación social, </w:t>
      </w:r>
      <w:r w:rsidR="00A006F5" w:rsidRPr="00A2488E">
        <w:rPr>
          <w:rFonts w:ascii="Arial" w:hAnsi="Arial" w:cs="Arial"/>
          <w:sz w:val="28"/>
          <w:szCs w:val="28"/>
        </w:rPr>
        <w:t xml:space="preserve">caracterizado por un alto grado de individualidad, impersonalidad, contractualismo  y procedente del mero interés y no de los fuertes estados subjetivos </w:t>
      </w:r>
      <w:r w:rsidR="0087550F" w:rsidRPr="00A2488E">
        <w:rPr>
          <w:rFonts w:ascii="Arial" w:hAnsi="Arial" w:cs="Arial"/>
          <w:sz w:val="28"/>
          <w:szCs w:val="28"/>
        </w:rPr>
        <w:t>de los lazos comunitarios.</w:t>
      </w:r>
    </w:p>
    <w:p w14:paraId="1CB09597" w14:textId="2F5FF908" w:rsidR="00891002" w:rsidRPr="00A2488E" w:rsidRDefault="00713CB7" w:rsidP="00A2488E">
      <w:pPr>
        <w:spacing w:line="360" w:lineRule="auto"/>
        <w:jc w:val="both"/>
        <w:rPr>
          <w:rFonts w:ascii="Arial" w:hAnsi="Arial" w:cs="Arial"/>
          <w:color w:val="1A1A1A" w:themeColor="background1" w:themeShade="1A"/>
          <w:sz w:val="28"/>
          <w:szCs w:val="28"/>
        </w:rPr>
      </w:pPr>
      <w:r w:rsidRPr="00A2488E">
        <w:rPr>
          <w:rFonts w:ascii="Arial" w:hAnsi="Arial" w:cs="Arial"/>
          <w:color w:val="1A1A1A" w:themeColor="background1" w:themeShade="1A"/>
          <w:sz w:val="28"/>
          <w:szCs w:val="28"/>
        </w:rPr>
        <w:t>La influencia de la Escuela de Chicago trascendió los marcos sociológicos para influir en la definición de las políticas públicas y programas de intervención con poblaciones populares</w:t>
      </w:r>
      <w:r w:rsidR="00145511" w:rsidRPr="00A2488E">
        <w:rPr>
          <w:rFonts w:ascii="Arial" w:hAnsi="Arial" w:cs="Arial"/>
          <w:color w:val="1A1A1A" w:themeColor="background1" w:themeShade="1A"/>
          <w:sz w:val="28"/>
          <w:szCs w:val="28"/>
        </w:rPr>
        <w:t xml:space="preserve">, en el contexto de los programas desarrollistas que se impusieron en America Laguna desde los años 50 del siglo XX. Incluso en la actualidad se sigue empleando </w:t>
      </w:r>
      <w:r w:rsidR="00BB69B7" w:rsidRPr="00A2488E">
        <w:rPr>
          <w:rFonts w:ascii="Arial" w:hAnsi="Arial" w:cs="Arial"/>
          <w:color w:val="1A1A1A" w:themeColor="background1" w:themeShade="1A"/>
          <w:sz w:val="28"/>
          <w:szCs w:val="28"/>
        </w:rPr>
        <w:t>la expresión es comunidad, integración comunitaria, desarrollo comunitario y participación comunitaria para referirse q poblaciones ubicadas en un mismo territorio.</w:t>
      </w:r>
    </w:p>
    <w:p w14:paraId="58C8533B" w14:textId="16542419" w:rsidR="00BB69B7" w:rsidRPr="00A2488E" w:rsidRDefault="00504F0A" w:rsidP="00A2488E">
      <w:pPr>
        <w:spacing w:line="360" w:lineRule="auto"/>
        <w:jc w:val="both"/>
        <w:rPr>
          <w:rFonts w:ascii="Arial" w:hAnsi="Arial" w:cs="Arial"/>
          <w:color w:val="1A1A1A" w:themeColor="background1" w:themeShade="1A"/>
          <w:sz w:val="28"/>
          <w:szCs w:val="28"/>
        </w:rPr>
      </w:pPr>
      <w:r w:rsidRPr="00A2488E">
        <w:rPr>
          <w:rFonts w:ascii="Arial" w:hAnsi="Arial" w:cs="Arial"/>
          <w:color w:val="1A1A1A" w:themeColor="background1" w:themeShade="1A"/>
          <w:sz w:val="28"/>
          <w:szCs w:val="28"/>
        </w:rPr>
        <w:t xml:space="preserve">Viejos y nuevos </w:t>
      </w:r>
      <w:r w:rsidR="00093B76" w:rsidRPr="00A2488E">
        <w:rPr>
          <w:rFonts w:ascii="Arial" w:hAnsi="Arial" w:cs="Arial"/>
          <w:color w:val="1A1A1A" w:themeColor="background1" w:themeShade="1A"/>
          <w:sz w:val="28"/>
          <w:szCs w:val="28"/>
        </w:rPr>
        <w:t xml:space="preserve">modos de ser comunitario </w:t>
      </w:r>
    </w:p>
    <w:p w14:paraId="66DC48E4" w14:textId="5D9336ED" w:rsidR="00093B76" w:rsidRPr="00A2488E" w:rsidRDefault="00043AE7" w:rsidP="00A2488E">
      <w:pPr>
        <w:spacing w:line="360" w:lineRule="auto"/>
        <w:jc w:val="both"/>
        <w:rPr>
          <w:rFonts w:ascii="Arial" w:hAnsi="Arial" w:cs="Arial"/>
          <w:color w:val="1A1A1A" w:themeColor="background1" w:themeShade="1A"/>
          <w:sz w:val="28"/>
          <w:szCs w:val="28"/>
        </w:rPr>
      </w:pPr>
      <w:r w:rsidRPr="00A2488E">
        <w:rPr>
          <w:rFonts w:ascii="Arial" w:hAnsi="Arial" w:cs="Arial"/>
          <w:color w:val="1A1A1A" w:themeColor="background1" w:themeShade="1A"/>
          <w:sz w:val="28"/>
          <w:szCs w:val="28"/>
        </w:rPr>
        <w:t xml:space="preserve">En el contexto de las sociedades urbanas contemporáneas se están reactivando formas de sociabilidad marcadas por fuertes e intensos lazos afectivos en torno q espacios masivos o de consumo cultural </w:t>
      </w:r>
      <w:r w:rsidR="00207BCA" w:rsidRPr="00A2488E">
        <w:rPr>
          <w:rFonts w:ascii="Arial" w:hAnsi="Arial" w:cs="Arial"/>
          <w:color w:val="1A1A1A" w:themeColor="background1" w:themeShade="1A"/>
          <w:sz w:val="28"/>
          <w:szCs w:val="28"/>
        </w:rPr>
        <w:t xml:space="preserve">como es el caso de las diversas identificaciones juveniles (punkeros, </w:t>
      </w:r>
      <w:r w:rsidR="001E531F" w:rsidRPr="00A2488E">
        <w:rPr>
          <w:rFonts w:ascii="Arial" w:hAnsi="Arial" w:cs="Arial"/>
          <w:color w:val="1A1A1A" w:themeColor="background1" w:themeShade="1A"/>
          <w:sz w:val="28"/>
          <w:szCs w:val="28"/>
        </w:rPr>
        <w:t>rockeros).</w:t>
      </w:r>
    </w:p>
    <w:p w14:paraId="1B09B79A" w14:textId="7912ED99" w:rsidR="001E531F" w:rsidRPr="00A2488E" w:rsidRDefault="001E531F" w:rsidP="00A2488E">
      <w:pPr>
        <w:spacing w:line="360" w:lineRule="auto"/>
        <w:jc w:val="both"/>
        <w:rPr>
          <w:rFonts w:ascii="Arial" w:hAnsi="Arial" w:cs="Arial"/>
          <w:color w:val="1A1A1A" w:themeColor="background1" w:themeShade="1A"/>
          <w:sz w:val="28"/>
          <w:szCs w:val="28"/>
        </w:rPr>
      </w:pPr>
      <w:r w:rsidRPr="00A2488E">
        <w:rPr>
          <w:rFonts w:ascii="Arial" w:hAnsi="Arial" w:cs="Arial"/>
          <w:color w:val="1A1A1A" w:themeColor="background1" w:themeShade="1A"/>
          <w:sz w:val="28"/>
          <w:szCs w:val="28"/>
        </w:rPr>
        <w:t>Junto a las formas señaladas de vínculo comunitario, podemos agregar otras ligadas en torno a intereses y valores compartidos intencionalmente (económicos, culturales, políticos, religiosos)</w:t>
      </w:r>
    </w:p>
    <w:p w14:paraId="53909D93" w14:textId="49026BD9" w:rsidR="00F268C8" w:rsidRPr="00A2488E" w:rsidRDefault="0087325D" w:rsidP="00A2488E">
      <w:pPr>
        <w:spacing w:line="360" w:lineRule="auto"/>
        <w:jc w:val="both"/>
        <w:rPr>
          <w:rFonts w:ascii="Arial" w:hAnsi="Arial" w:cs="Arial"/>
          <w:color w:val="1A1A1A" w:themeColor="background1" w:themeShade="1A"/>
          <w:sz w:val="28"/>
          <w:szCs w:val="28"/>
        </w:rPr>
      </w:pPr>
      <w:r w:rsidRPr="00A2488E">
        <w:rPr>
          <w:rFonts w:ascii="Arial" w:hAnsi="Arial" w:cs="Arial"/>
          <w:color w:val="1A1A1A" w:themeColor="background1" w:themeShade="1A"/>
          <w:sz w:val="28"/>
          <w:szCs w:val="28"/>
        </w:rPr>
        <w:lastRenderedPageBreak/>
        <w:t>Otros tipos de acción e identificación comunitaria va más allá del marco de lo tradicional, de local y de lo inmediato; se trata de las asociaciones y movimientos constituidos intencionalmente como defensa y alternativa a la dominación del capital y del Estado</w:t>
      </w:r>
      <w:r w:rsidR="00D6234C" w:rsidRPr="00A2488E">
        <w:rPr>
          <w:rFonts w:ascii="Arial" w:hAnsi="Arial" w:cs="Arial"/>
          <w:color w:val="1A1A1A" w:themeColor="background1" w:themeShade="1A"/>
          <w:sz w:val="28"/>
          <w:szCs w:val="28"/>
        </w:rPr>
        <w:t xml:space="preserve">. Nos estamos refiriendo a comunidades intencionales que surgen por la decisión de un grupo con el propósito deliberado de reorganizar </w:t>
      </w:r>
      <w:r w:rsidR="00F268C8" w:rsidRPr="00A2488E">
        <w:rPr>
          <w:rFonts w:ascii="Arial" w:hAnsi="Arial" w:cs="Arial"/>
          <w:color w:val="1A1A1A" w:themeColor="background1" w:themeShade="1A"/>
          <w:sz w:val="28"/>
          <w:szCs w:val="28"/>
        </w:rPr>
        <w:t>su convivencia de acuerdo a normas y valores idealmente elaborados, en base a credos o a nuevos marcos sociales de referencia.</w:t>
      </w:r>
    </w:p>
    <w:p w14:paraId="469B4644" w14:textId="4A0110CE" w:rsidR="001328D8" w:rsidRPr="00A2488E" w:rsidRDefault="001328D8" w:rsidP="00A2488E">
      <w:pPr>
        <w:spacing w:line="360" w:lineRule="auto"/>
        <w:jc w:val="both"/>
        <w:rPr>
          <w:rFonts w:ascii="Arial" w:hAnsi="Arial" w:cs="Arial"/>
          <w:color w:val="1A1A1A" w:themeColor="background1" w:themeShade="1A"/>
          <w:sz w:val="28"/>
          <w:szCs w:val="28"/>
        </w:rPr>
      </w:pPr>
      <w:r w:rsidRPr="00A2488E">
        <w:rPr>
          <w:rFonts w:ascii="Arial" w:hAnsi="Arial" w:cs="Arial"/>
          <w:color w:val="1A1A1A" w:themeColor="background1" w:themeShade="1A"/>
          <w:sz w:val="28"/>
          <w:szCs w:val="28"/>
        </w:rPr>
        <w:t xml:space="preserve">Estas comunidades intencionales se pueden convertir en “comunidades críticas” en la medida en que identifican por medio de la reflexión deliberadora y la autorreflexión, algunas de las formas en que la cultura vigente opera en su intento por limitar la formación y el mantenimiento de comunidades </w:t>
      </w:r>
      <w:r w:rsidR="008E34EE" w:rsidRPr="00A2488E">
        <w:rPr>
          <w:rFonts w:ascii="Arial" w:hAnsi="Arial" w:cs="Arial"/>
          <w:color w:val="1A1A1A" w:themeColor="background1" w:themeShade="1A"/>
          <w:sz w:val="28"/>
          <w:szCs w:val="28"/>
        </w:rPr>
        <w:t>por ejemplo como la solidaridad y la fraternidad.</w:t>
      </w:r>
    </w:p>
    <w:p w14:paraId="4A4BEE8A" w14:textId="63847AA1" w:rsidR="008E34EE" w:rsidRPr="00A2488E" w:rsidRDefault="008E34EE" w:rsidP="00A2488E">
      <w:pPr>
        <w:spacing w:line="360" w:lineRule="auto"/>
        <w:jc w:val="both"/>
        <w:rPr>
          <w:rFonts w:ascii="Arial" w:hAnsi="Arial" w:cs="Arial"/>
          <w:color w:val="1A1A1A" w:themeColor="background1" w:themeShade="1A"/>
          <w:sz w:val="28"/>
          <w:szCs w:val="28"/>
        </w:rPr>
      </w:pPr>
      <w:r w:rsidRPr="00A2488E">
        <w:rPr>
          <w:rFonts w:ascii="Arial" w:hAnsi="Arial" w:cs="Arial"/>
          <w:color w:val="1A1A1A" w:themeColor="background1" w:themeShade="1A"/>
          <w:sz w:val="28"/>
          <w:szCs w:val="28"/>
        </w:rPr>
        <w:t>Algunos ejemplo de comunidades intencionales en nuestro país son el movimiento indígena, el m</w:t>
      </w:r>
      <w:r w:rsidR="003B2F5C" w:rsidRPr="00A2488E">
        <w:rPr>
          <w:rFonts w:ascii="Arial" w:hAnsi="Arial" w:cs="Arial"/>
          <w:color w:val="1A1A1A" w:themeColor="background1" w:themeShade="1A"/>
          <w:sz w:val="28"/>
          <w:szCs w:val="28"/>
        </w:rPr>
        <w:t>ovimiento de las comunidades eclesiales de base, las redes de jóvenes, las asociaciones de viviendistas, etc.</w:t>
      </w:r>
    </w:p>
    <w:p w14:paraId="040EF6E8" w14:textId="60011DF9" w:rsidR="00E8729F" w:rsidRPr="00A2488E" w:rsidRDefault="00573506" w:rsidP="00A2488E">
      <w:pPr>
        <w:spacing w:line="360" w:lineRule="auto"/>
        <w:jc w:val="both"/>
        <w:rPr>
          <w:rFonts w:ascii="Arial" w:hAnsi="Arial" w:cs="Arial"/>
          <w:color w:val="1A1A1A" w:themeColor="background1" w:themeShade="1A"/>
          <w:sz w:val="28"/>
          <w:szCs w:val="28"/>
        </w:rPr>
      </w:pPr>
      <w:r w:rsidRPr="00A2488E">
        <w:rPr>
          <w:rFonts w:ascii="Arial" w:hAnsi="Arial" w:cs="Arial"/>
          <w:color w:val="1A1A1A" w:themeColor="background1" w:themeShade="1A"/>
          <w:sz w:val="28"/>
          <w:szCs w:val="28"/>
        </w:rPr>
        <w:t xml:space="preserve">Lo comunitario como ideal de vida social </w:t>
      </w:r>
    </w:p>
    <w:p w14:paraId="473D609B" w14:textId="00E4CDAC" w:rsidR="00573506" w:rsidRPr="00A2488E" w:rsidRDefault="00406548" w:rsidP="00A2488E">
      <w:pPr>
        <w:spacing w:line="360" w:lineRule="auto"/>
        <w:jc w:val="both"/>
        <w:rPr>
          <w:rFonts w:ascii="Arial" w:hAnsi="Arial" w:cs="Arial"/>
          <w:color w:val="1A1A1A" w:themeColor="background1" w:themeShade="1A"/>
          <w:sz w:val="28"/>
          <w:szCs w:val="28"/>
        </w:rPr>
      </w:pPr>
      <w:r w:rsidRPr="00A2488E">
        <w:rPr>
          <w:rFonts w:ascii="Arial" w:hAnsi="Arial" w:cs="Arial"/>
          <w:color w:val="1A1A1A" w:themeColor="background1" w:themeShade="1A"/>
          <w:sz w:val="28"/>
          <w:szCs w:val="28"/>
        </w:rPr>
        <w:t>En primer lugar, las acciones de intervención social con poblaciones donde perviven relaciones de tipo comunitario y la expansión de experiencias asociativas y de movimientos en torno a temáticas que generan identidad comunitaria.</w:t>
      </w:r>
    </w:p>
    <w:p w14:paraId="3E9B8A80" w14:textId="41669650" w:rsidR="00406548" w:rsidRPr="00A2488E" w:rsidRDefault="00406548" w:rsidP="00A2488E">
      <w:pPr>
        <w:spacing w:line="360" w:lineRule="auto"/>
        <w:jc w:val="both"/>
        <w:rPr>
          <w:rFonts w:ascii="Arial" w:hAnsi="Arial" w:cs="Arial"/>
          <w:color w:val="1A1A1A" w:themeColor="background1" w:themeShade="1A"/>
          <w:sz w:val="28"/>
          <w:szCs w:val="28"/>
        </w:rPr>
      </w:pPr>
      <w:r w:rsidRPr="00A2488E">
        <w:rPr>
          <w:rFonts w:ascii="Arial" w:hAnsi="Arial" w:cs="Arial"/>
          <w:color w:val="1A1A1A" w:themeColor="background1" w:themeShade="1A"/>
          <w:sz w:val="28"/>
          <w:szCs w:val="28"/>
        </w:rPr>
        <w:t xml:space="preserve">En segundo lugar </w:t>
      </w:r>
      <w:r w:rsidR="0085145D" w:rsidRPr="00A2488E">
        <w:rPr>
          <w:rFonts w:ascii="Arial" w:hAnsi="Arial" w:cs="Arial"/>
          <w:color w:val="1A1A1A" w:themeColor="background1" w:themeShade="1A"/>
          <w:sz w:val="28"/>
          <w:szCs w:val="28"/>
        </w:rPr>
        <w:t xml:space="preserve">los procesos de construcción de democratización política, y de ciudadanizacion  y de </w:t>
      </w:r>
      <w:r w:rsidR="00E35D07" w:rsidRPr="00A2488E">
        <w:rPr>
          <w:rFonts w:ascii="Arial" w:hAnsi="Arial" w:cs="Arial"/>
          <w:color w:val="1A1A1A" w:themeColor="background1" w:themeShade="1A"/>
          <w:sz w:val="28"/>
          <w:szCs w:val="28"/>
        </w:rPr>
        <w:t xml:space="preserve">formación de un sentido de lo </w:t>
      </w:r>
      <w:r w:rsidR="00E35D07" w:rsidRPr="00A2488E">
        <w:rPr>
          <w:rFonts w:ascii="Arial" w:hAnsi="Arial" w:cs="Arial"/>
          <w:color w:val="1A1A1A" w:themeColor="background1" w:themeShade="1A"/>
          <w:sz w:val="28"/>
          <w:szCs w:val="28"/>
        </w:rPr>
        <w:lastRenderedPageBreak/>
        <w:t xml:space="preserve">público han incorporado acciones culturales y educativas explícitas para sensibilizar y formar a los sujetos de dichos </w:t>
      </w:r>
      <w:r w:rsidR="002C20CF" w:rsidRPr="00A2488E">
        <w:rPr>
          <w:rFonts w:ascii="Arial" w:hAnsi="Arial" w:cs="Arial"/>
          <w:color w:val="1A1A1A" w:themeColor="background1" w:themeShade="1A"/>
          <w:sz w:val="28"/>
          <w:szCs w:val="28"/>
        </w:rPr>
        <w:t>proyectos.</w:t>
      </w:r>
    </w:p>
    <w:p w14:paraId="2206C1D1" w14:textId="676B61AA" w:rsidR="002C20CF" w:rsidRPr="00A2488E" w:rsidRDefault="002C20CF" w:rsidP="00A2488E">
      <w:pPr>
        <w:spacing w:line="360" w:lineRule="auto"/>
        <w:jc w:val="both"/>
        <w:rPr>
          <w:rFonts w:ascii="Arial" w:hAnsi="Arial" w:cs="Arial"/>
          <w:color w:val="1A1A1A" w:themeColor="background1" w:themeShade="1A"/>
          <w:sz w:val="28"/>
          <w:szCs w:val="28"/>
        </w:rPr>
      </w:pPr>
      <w:r w:rsidRPr="00A2488E">
        <w:rPr>
          <w:rFonts w:ascii="Arial" w:hAnsi="Arial" w:cs="Arial"/>
          <w:color w:val="1A1A1A" w:themeColor="background1" w:themeShade="1A"/>
          <w:sz w:val="28"/>
          <w:szCs w:val="28"/>
        </w:rPr>
        <w:t>En tercer lugar la irrupción de estas nuevas dinámicas sociales, culturales y políticas le plantea a las instituciones escolares nuevas demandas: que recupere su lugar cultural en la formación para la democracia, que continúa a la educación ciudadana que colabore en la formación en derechos humanos, que forme en una problemática propia de la complejiza como social descrita y de las singularidades de su contexto local o social.</w:t>
      </w:r>
    </w:p>
    <w:p w14:paraId="04226EAB" w14:textId="77777777" w:rsidR="002C20CF" w:rsidRPr="00A2488E" w:rsidRDefault="002C20CF" w:rsidP="00A2488E">
      <w:pPr>
        <w:spacing w:line="360" w:lineRule="auto"/>
        <w:jc w:val="both"/>
        <w:rPr>
          <w:rFonts w:ascii="Arial" w:hAnsi="Arial" w:cs="Arial"/>
          <w:color w:val="1A1A1A" w:themeColor="background1" w:themeShade="1A"/>
          <w:sz w:val="28"/>
          <w:szCs w:val="28"/>
        </w:rPr>
      </w:pPr>
    </w:p>
    <w:sectPr w:rsidR="002C20CF" w:rsidRPr="00A2488E" w:rsidSect="00F11E36">
      <w:footerReference w:type="default" r:id="rId8"/>
      <w:pgSz w:w="11907" w:h="16839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F6E5" w14:textId="77777777" w:rsidR="001542A2" w:rsidRDefault="001542A2">
      <w:pPr>
        <w:spacing w:after="0" w:line="240" w:lineRule="auto"/>
      </w:pPr>
      <w:r>
        <w:separator/>
      </w:r>
    </w:p>
  </w:endnote>
  <w:endnote w:type="continuationSeparator" w:id="0">
    <w:p w14:paraId="7E1BAC70" w14:textId="77777777" w:rsidR="001542A2" w:rsidRDefault="0015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FE1DD" w14:textId="77777777" w:rsidR="00F44519" w:rsidRDefault="00445455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DCED" w14:textId="77777777" w:rsidR="001542A2" w:rsidRDefault="001542A2">
      <w:pPr>
        <w:spacing w:after="0" w:line="240" w:lineRule="auto"/>
      </w:pPr>
      <w:r>
        <w:separator/>
      </w:r>
    </w:p>
  </w:footnote>
  <w:footnote w:type="continuationSeparator" w:id="0">
    <w:p w14:paraId="49EEAF2B" w14:textId="77777777" w:rsidR="001542A2" w:rsidRDefault="00154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448331">
    <w:abstractNumId w:val="8"/>
  </w:num>
  <w:num w:numId="2" w16cid:durableId="2046172734">
    <w:abstractNumId w:val="8"/>
  </w:num>
  <w:num w:numId="3" w16cid:durableId="698241864">
    <w:abstractNumId w:val="9"/>
  </w:num>
  <w:num w:numId="4" w16cid:durableId="1300839618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1334988669">
    <w:abstractNumId w:val="10"/>
  </w:num>
  <w:num w:numId="6" w16cid:durableId="1536580661">
    <w:abstractNumId w:val="7"/>
  </w:num>
  <w:num w:numId="7" w16cid:durableId="1860578201">
    <w:abstractNumId w:val="6"/>
  </w:num>
  <w:num w:numId="8" w16cid:durableId="1998068134">
    <w:abstractNumId w:val="5"/>
  </w:num>
  <w:num w:numId="9" w16cid:durableId="436144753">
    <w:abstractNumId w:val="4"/>
  </w:num>
  <w:num w:numId="10" w16cid:durableId="563029151">
    <w:abstractNumId w:val="3"/>
  </w:num>
  <w:num w:numId="11" w16cid:durableId="1973513372">
    <w:abstractNumId w:val="2"/>
  </w:num>
  <w:num w:numId="12" w16cid:durableId="1588880337">
    <w:abstractNumId w:val="1"/>
  </w:num>
  <w:num w:numId="13" w16cid:durableId="975375456">
    <w:abstractNumId w:val="0"/>
  </w:num>
  <w:num w:numId="14" w16cid:durableId="1921912334">
    <w:abstractNumId w:val="8"/>
    <w:lvlOverride w:ilvl="0">
      <w:startOverride w:val="1"/>
    </w:lvlOverride>
  </w:num>
  <w:num w:numId="15" w16cid:durableId="745079099">
    <w:abstractNumId w:val="8"/>
  </w:num>
  <w:num w:numId="16" w16cid:durableId="9016045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DC"/>
    <w:rsid w:val="00020782"/>
    <w:rsid w:val="0002132A"/>
    <w:rsid w:val="000309D7"/>
    <w:rsid w:val="0003460D"/>
    <w:rsid w:val="00043AE7"/>
    <w:rsid w:val="00045111"/>
    <w:rsid w:val="0004683C"/>
    <w:rsid w:val="00051F4F"/>
    <w:rsid w:val="00093B76"/>
    <w:rsid w:val="000A06BD"/>
    <w:rsid w:val="000A5101"/>
    <w:rsid w:val="000A64CA"/>
    <w:rsid w:val="000B66C7"/>
    <w:rsid w:val="000F6CE7"/>
    <w:rsid w:val="001033F8"/>
    <w:rsid w:val="001108A2"/>
    <w:rsid w:val="001148FF"/>
    <w:rsid w:val="00122636"/>
    <w:rsid w:val="001328D8"/>
    <w:rsid w:val="00145511"/>
    <w:rsid w:val="001542A2"/>
    <w:rsid w:val="0015456C"/>
    <w:rsid w:val="001E50C2"/>
    <w:rsid w:val="001E531F"/>
    <w:rsid w:val="001F66CF"/>
    <w:rsid w:val="002036AE"/>
    <w:rsid w:val="002037E2"/>
    <w:rsid w:val="00207BCA"/>
    <w:rsid w:val="00216E81"/>
    <w:rsid w:val="0022095C"/>
    <w:rsid w:val="00225E17"/>
    <w:rsid w:val="00232E8D"/>
    <w:rsid w:val="002451F0"/>
    <w:rsid w:val="0024582E"/>
    <w:rsid w:val="00252C7F"/>
    <w:rsid w:val="0025773E"/>
    <w:rsid w:val="0028744D"/>
    <w:rsid w:val="00292FDB"/>
    <w:rsid w:val="002B0974"/>
    <w:rsid w:val="002B6203"/>
    <w:rsid w:val="002C20CF"/>
    <w:rsid w:val="002D0F49"/>
    <w:rsid w:val="002E029C"/>
    <w:rsid w:val="003057EB"/>
    <w:rsid w:val="00315B5E"/>
    <w:rsid w:val="00325ABD"/>
    <w:rsid w:val="003357E1"/>
    <w:rsid w:val="003359E6"/>
    <w:rsid w:val="0034657F"/>
    <w:rsid w:val="00347331"/>
    <w:rsid w:val="003550E3"/>
    <w:rsid w:val="00356A2F"/>
    <w:rsid w:val="0038623E"/>
    <w:rsid w:val="00387435"/>
    <w:rsid w:val="00390ECB"/>
    <w:rsid w:val="00396EBB"/>
    <w:rsid w:val="00397D35"/>
    <w:rsid w:val="003B2B8F"/>
    <w:rsid w:val="003B2F5C"/>
    <w:rsid w:val="003B6CC6"/>
    <w:rsid w:val="003D687B"/>
    <w:rsid w:val="003E42B4"/>
    <w:rsid w:val="003E7F1F"/>
    <w:rsid w:val="003F6C27"/>
    <w:rsid w:val="003F7D4F"/>
    <w:rsid w:val="00403A9C"/>
    <w:rsid w:val="00406548"/>
    <w:rsid w:val="00407380"/>
    <w:rsid w:val="00431370"/>
    <w:rsid w:val="004318C6"/>
    <w:rsid w:val="004367C1"/>
    <w:rsid w:val="00445455"/>
    <w:rsid w:val="004C5DE4"/>
    <w:rsid w:val="004D0C74"/>
    <w:rsid w:val="004F1030"/>
    <w:rsid w:val="00504F0A"/>
    <w:rsid w:val="00507EB1"/>
    <w:rsid w:val="00520BF2"/>
    <w:rsid w:val="005220FA"/>
    <w:rsid w:val="005269DD"/>
    <w:rsid w:val="00531849"/>
    <w:rsid w:val="00533FFB"/>
    <w:rsid w:val="005668DB"/>
    <w:rsid w:val="00573506"/>
    <w:rsid w:val="00590702"/>
    <w:rsid w:val="005B6383"/>
    <w:rsid w:val="005D548B"/>
    <w:rsid w:val="005F5861"/>
    <w:rsid w:val="00632C5C"/>
    <w:rsid w:val="0063465D"/>
    <w:rsid w:val="006630DF"/>
    <w:rsid w:val="00672737"/>
    <w:rsid w:val="006729E1"/>
    <w:rsid w:val="00672EAA"/>
    <w:rsid w:val="006754C6"/>
    <w:rsid w:val="00694FA4"/>
    <w:rsid w:val="006A049D"/>
    <w:rsid w:val="006B2E33"/>
    <w:rsid w:val="006B3066"/>
    <w:rsid w:val="006B4223"/>
    <w:rsid w:val="006D5606"/>
    <w:rsid w:val="006D5A5F"/>
    <w:rsid w:val="006F3467"/>
    <w:rsid w:val="00713CB7"/>
    <w:rsid w:val="00722D92"/>
    <w:rsid w:val="00723094"/>
    <w:rsid w:val="00761AC5"/>
    <w:rsid w:val="00761D62"/>
    <w:rsid w:val="00770D88"/>
    <w:rsid w:val="007A348A"/>
    <w:rsid w:val="007E1481"/>
    <w:rsid w:val="007F47DC"/>
    <w:rsid w:val="00801EA8"/>
    <w:rsid w:val="008103E8"/>
    <w:rsid w:val="00826827"/>
    <w:rsid w:val="008510FF"/>
    <w:rsid w:val="0085145D"/>
    <w:rsid w:val="008575EB"/>
    <w:rsid w:val="008664E0"/>
    <w:rsid w:val="0087325D"/>
    <w:rsid w:val="0087550F"/>
    <w:rsid w:val="00884838"/>
    <w:rsid w:val="00891002"/>
    <w:rsid w:val="0089414C"/>
    <w:rsid w:val="00896D4D"/>
    <w:rsid w:val="008B1E64"/>
    <w:rsid w:val="008E0FEE"/>
    <w:rsid w:val="008E34EE"/>
    <w:rsid w:val="00921533"/>
    <w:rsid w:val="00921EF9"/>
    <w:rsid w:val="00955AF4"/>
    <w:rsid w:val="00974755"/>
    <w:rsid w:val="00975538"/>
    <w:rsid w:val="00977411"/>
    <w:rsid w:val="00994450"/>
    <w:rsid w:val="009B47D4"/>
    <w:rsid w:val="009D2BC7"/>
    <w:rsid w:val="009F4713"/>
    <w:rsid w:val="009F4A1E"/>
    <w:rsid w:val="00A006F5"/>
    <w:rsid w:val="00A06708"/>
    <w:rsid w:val="00A06BC1"/>
    <w:rsid w:val="00A145E8"/>
    <w:rsid w:val="00A14EBB"/>
    <w:rsid w:val="00A2488E"/>
    <w:rsid w:val="00A366E8"/>
    <w:rsid w:val="00AA7DAD"/>
    <w:rsid w:val="00AF17F0"/>
    <w:rsid w:val="00AF1E42"/>
    <w:rsid w:val="00B028A1"/>
    <w:rsid w:val="00B1101E"/>
    <w:rsid w:val="00B44CE6"/>
    <w:rsid w:val="00B52F66"/>
    <w:rsid w:val="00B850C4"/>
    <w:rsid w:val="00B93295"/>
    <w:rsid w:val="00B97157"/>
    <w:rsid w:val="00BB13CE"/>
    <w:rsid w:val="00BB69B7"/>
    <w:rsid w:val="00BD7CA0"/>
    <w:rsid w:val="00BF7484"/>
    <w:rsid w:val="00C173AB"/>
    <w:rsid w:val="00C64820"/>
    <w:rsid w:val="00C768E0"/>
    <w:rsid w:val="00C837E1"/>
    <w:rsid w:val="00CB5DA8"/>
    <w:rsid w:val="00CD1C86"/>
    <w:rsid w:val="00CE2510"/>
    <w:rsid w:val="00CF7E58"/>
    <w:rsid w:val="00D36723"/>
    <w:rsid w:val="00D36D3C"/>
    <w:rsid w:val="00D6234C"/>
    <w:rsid w:val="00D76E28"/>
    <w:rsid w:val="00D77685"/>
    <w:rsid w:val="00E21EBF"/>
    <w:rsid w:val="00E30394"/>
    <w:rsid w:val="00E35D07"/>
    <w:rsid w:val="00E64F4B"/>
    <w:rsid w:val="00E67656"/>
    <w:rsid w:val="00E71575"/>
    <w:rsid w:val="00E80306"/>
    <w:rsid w:val="00E856E2"/>
    <w:rsid w:val="00E8729F"/>
    <w:rsid w:val="00E960ED"/>
    <w:rsid w:val="00EB3A49"/>
    <w:rsid w:val="00EC7343"/>
    <w:rsid w:val="00ED6D1F"/>
    <w:rsid w:val="00EE2582"/>
    <w:rsid w:val="00F11E36"/>
    <w:rsid w:val="00F13A1C"/>
    <w:rsid w:val="00F14414"/>
    <w:rsid w:val="00F21232"/>
    <w:rsid w:val="00F268C8"/>
    <w:rsid w:val="00F44519"/>
    <w:rsid w:val="00F95F37"/>
    <w:rsid w:val="00FA05F2"/>
    <w:rsid w:val="00FA2CEF"/>
    <w:rsid w:val="00FB305D"/>
    <w:rsid w:val="00FD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10F53"/>
  <w15:chartTrackingRefBased/>
  <w15:docId w15:val="{AD038EB9-69FB-CB44-AC16-FB19A453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45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666660" w:themeColor="text2" w:themeTint="BF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666660" w:themeColor="text2" w:themeTint="BF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4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color w:val="454541" w:themeColor="text2" w:themeTint="E6"/>
      <w:sz w:val="34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styleId="Ttulodellibro">
    <w:name w:val="Book Title"/>
    <w:basedOn w:val="Fuentedeprrafopredeter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Encabezadodelista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012DE8E-BE36-E147-977D-EA0A2C49CCED%7dtf16392100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%7bF012DE8E-BE36-E147-977D-EA0A2C49CCED%7dtf16392100.dotx</Template>
  <TotalTime>0</TotalTime>
  <Pages>5</Pages>
  <Words>801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LUIS� MARTINEZ</dc:creator>
  <cp:keywords/>
  <dc:description/>
  <cp:lastModifiedBy>MARIA FERNANDA LUIS� MARTINEZ</cp:lastModifiedBy>
  <cp:revision>2</cp:revision>
  <dcterms:created xsi:type="dcterms:W3CDTF">2023-03-22T03:16:00Z</dcterms:created>
  <dcterms:modified xsi:type="dcterms:W3CDTF">2023-03-22T03:16:00Z</dcterms:modified>
</cp:coreProperties>
</file>