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8906" w14:textId="5A2B78F1" w:rsidR="00020ED8" w:rsidRPr="00FE4DF9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FE4DF9">
        <w:rPr>
          <w:rFonts w:ascii="Times New Roman" w:hAnsi="Times New Roman" w:cs="Times New Roman"/>
          <w:b/>
          <w:sz w:val="24"/>
          <w:szCs w:val="16"/>
        </w:rPr>
        <w:t>GOBIERNO DEL ESTADO DE COAHUILA DE ZARAGOZA</w:t>
      </w:r>
    </w:p>
    <w:p w14:paraId="0BCD7224" w14:textId="764421FF" w:rsidR="00020ED8" w:rsidRPr="00FE4DF9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FE4DF9">
        <w:rPr>
          <w:rFonts w:ascii="Times New Roman" w:hAnsi="Times New Roman" w:cs="Times New Roman"/>
          <w:b/>
          <w:sz w:val="24"/>
          <w:szCs w:val="16"/>
        </w:rPr>
        <w:t>SECRETARIA DE EDUCACI</w:t>
      </w:r>
      <w:r w:rsidR="00770DFE" w:rsidRPr="00FE4DF9">
        <w:rPr>
          <w:rFonts w:ascii="Times New Roman" w:hAnsi="Times New Roman" w:cs="Times New Roman"/>
          <w:b/>
          <w:sz w:val="24"/>
          <w:szCs w:val="16"/>
        </w:rPr>
        <w:t>Ó</w:t>
      </w:r>
      <w:r w:rsidRPr="00FE4DF9">
        <w:rPr>
          <w:rFonts w:ascii="Times New Roman" w:hAnsi="Times New Roman" w:cs="Times New Roman"/>
          <w:b/>
          <w:sz w:val="24"/>
          <w:szCs w:val="16"/>
        </w:rPr>
        <w:t xml:space="preserve">N </w:t>
      </w:r>
    </w:p>
    <w:p w14:paraId="63A08314" w14:textId="77777777" w:rsidR="00020ED8" w:rsidRPr="00FE4DF9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FE4DF9">
        <w:rPr>
          <w:rFonts w:ascii="Times New Roman" w:hAnsi="Times New Roman" w:cs="Times New Roman"/>
          <w:b/>
          <w:sz w:val="24"/>
          <w:szCs w:val="16"/>
        </w:rPr>
        <w:t xml:space="preserve">ESCUELA NORMAL DE EDUCACIÓN PREESCOLAR </w:t>
      </w:r>
    </w:p>
    <w:p w14:paraId="409EFB57" w14:textId="2C546955" w:rsidR="00020ED8" w:rsidRPr="00FE4DF9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E4DF9">
        <w:rPr>
          <w:rFonts w:ascii="Times New Roman" w:hAnsi="Times New Roman" w:cs="Times New Roman"/>
          <w:noProof/>
          <w:sz w:val="18"/>
          <w:szCs w:val="18"/>
          <w:lang w:eastAsia="es-MX"/>
        </w:rPr>
        <w:drawing>
          <wp:inline distT="0" distB="0" distL="0" distR="0" wp14:anchorId="010C1348" wp14:editId="2DB68B34">
            <wp:extent cx="1419225" cy="1990725"/>
            <wp:effectExtent l="0" t="0" r="9525" b="0"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41304" cy="2021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D1020" w14:textId="5931188C" w:rsidR="00020ED8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FE4DF9">
        <w:rPr>
          <w:rFonts w:ascii="Times New Roman" w:hAnsi="Times New Roman" w:cs="Times New Roman"/>
          <w:b/>
          <w:sz w:val="24"/>
          <w:szCs w:val="16"/>
        </w:rPr>
        <w:t>TÍTULO DEL TRABAJO</w:t>
      </w:r>
    </w:p>
    <w:p w14:paraId="4F37845B" w14:textId="675309DF" w:rsidR="00162A2F" w:rsidRPr="00FE4DF9" w:rsidRDefault="00162A2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Evidencia de Unidad 2.</w:t>
      </w:r>
    </w:p>
    <w:p w14:paraId="4B879C83" w14:textId="77777777" w:rsidR="00DB01EC" w:rsidRPr="00FE4DF9" w:rsidRDefault="00DB01EC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77DB7877" w14:textId="39A9681D" w:rsidR="00BE633D" w:rsidRDefault="00020ED8" w:rsidP="00BE633D">
      <w:pPr>
        <w:spacing w:after="0" w:line="360" w:lineRule="auto"/>
        <w:jc w:val="center"/>
        <w:rPr>
          <w:rFonts w:ascii="Times New Roman" w:hAnsi="Times New Roman" w:cs="Times New Roman"/>
          <w:b/>
          <w:szCs w:val="14"/>
        </w:rPr>
      </w:pPr>
      <w:r w:rsidRPr="00FE4DF9">
        <w:rPr>
          <w:rFonts w:ascii="Times New Roman" w:hAnsi="Times New Roman" w:cs="Times New Roman"/>
          <w:b/>
          <w:szCs w:val="14"/>
        </w:rPr>
        <w:t xml:space="preserve">PRESENTADO POR: </w:t>
      </w:r>
    </w:p>
    <w:p w14:paraId="6CF00DC9" w14:textId="173F614D" w:rsidR="00BE633D" w:rsidRPr="00BE633D" w:rsidRDefault="00BE633D" w:rsidP="00BE633D">
      <w:pPr>
        <w:spacing w:after="0" w:line="360" w:lineRule="auto"/>
        <w:jc w:val="center"/>
        <w:rPr>
          <w:rFonts w:ascii="Times New Roman" w:hAnsi="Times New Roman" w:cs="Times New Roman"/>
          <w:bCs/>
          <w:szCs w:val="14"/>
        </w:rPr>
      </w:pPr>
      <w:r w:rsidRPr="00BE633D">
        <w:rPr>
          <w:rFonts w:ascii="Times New Roman" w:hAnsi="Times New Roman" w:cs="Times New Roman"/>
          <w:bCs/>
          <w:szCs w:val="14"/>
        </w:rPr>
        <w:t>ELISA MARISOL GÓMEZ ARANDA.</w:t>
      </w:r>
    </w:p>
    <w:p w14:paraId="743F5F1B" w14:textId="77777777" w:rsidR="00F4099F" w:rsidRPr="00FE4DF9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Cs w:val="14"/>
        </w:rPr>
      </w:pPr>
    </w:p>
    <w:p w14:paraId="62422754" w14:textId="7D87DB83" w:rsidR="00020ED8" w:rsidRPr="00FE4DF9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16"/>
        </w:rPr>
      </w:pPr>
      <w:r w:rsidRPr="00FE4DF9">
        <w:rPr>
          <w:rFonts w:ascii="Times New Roman" w:hAnsi="Times New Roman" w:cs="Times New Roman"/>
          <w:b/>
          <w:bCs/>
          <w:szCs w:val="16"/>
        </w:rPr>
        <w:t xml:space="preserve">MAESTRO DEL CURSO: </w:t>
      </w:r>
    </w:p>
    <w:p w14:paraId="5FFD39A2" w14:textId="04630BF6" w:rsidR="001B2FED" w:rsidRPr="00FE4DF9" w:rsidRDefault="00FE4DF9" w:rsidP="001B2FED">
      <w:pPr>
        <w:spacing w:after="0" w:line="360" w:lineRule="auto"/>
        <w:jc w:val="center"/>
        <w:rPr>
          <w:rFonts w:ascii="Times New Roman" w:hAnsi="Times New Roman" w:cs="Times New Roman"/>
          <w:szCs w:val="16"/>
        </w:rPr>
      </w:pPr>
      <w:r w:rsidRPr="00FE4DF9">
        <w:rPr>
          <w:rFonts w:ascii="Times New Roman" w:hAnsi="Times New Roman" w:cs="Times New Roman"/>
          <w:szCs w:val="16"/>
        </w:rPr>
        <w:t>MARÍA TERESA CERDA OROCIO</w:t>
      </w:r>
    </w:p>
    <w:p w14:paraId="659DF26C" w14:textId="77777777" w:rsidR="00F4099F" w:rsidRPr="00FE4DF9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16"/>
        </w:rPr>
      </w:pPr>
    </w:p>
    <w:p w14:paraId="1EEBA672" w14:textId="3F70085C" w:rsidR="00020ED8" w:rsidRPr="00FE4DF9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Cs w:val="14"/>
        </w:rPr>
      </w:pPr>
      <w:r w:rsidRPr="00FE4DF9">
        <w:rPr>
          <w:rFonts w:ascii="Times New Roman" w:hAnsi="Times New Roman" w:cs="Times New Roman"/>
          <w:b/>
          <w:szCs w:val="14"/>
        </w:rPr>
        <w:t>COMPETENCIA PROFESIONAL:</w:t>
      </w:r>
    </w:p>
    <w:p w14:paraId="47FD8B09" w14:textId="4CF4C108" w:rsidR="00070357" w:rsidRPr="00FE4DF9" w:rsidRDefault="00FE4DF9" w:rsidP="001B2FED">
      <w:pPr>
        <w:spacing w:after="0" w:line="360" w:lineRule="auto"/>
        <w:jc w:val="center"/>
        <w:rPr>
          <w:rFonts w:ascii="Times New Roman" w:hAnsi="Times New Roman" w:cs="Times New Roman"/>
          <w:b/>
          <w:szCs w:val="14"/>
        </w:rPr>
      </w:pPr>
      <w:r w:rsidRPr="00FE4DF9">
        <w:rPr>
          <w:rFonts w:ascii="Times New Roman" w:hAnsi="Times New Roman" w:cs="Times New Roman"/>
        </w:rPr>
        <w:t xml:space="preserve">VALORA Y APLICA LA INVESTIGACIÓN EDUCATIVA COMO PROCESO COMPLEJO, CONTINUO Y CRÍTICO QUE PERMITE RECONOCER LOS PROCESOS DE DESARROLLO Y APRENDIZAJE, ASÍ COMO LA REALIDAD SOCIOCULTURAL DE </w:t>
      </w:r>
      <w:proofErr w:type="gramStart"/>
      <w:r w:rsidRPr="00FE4DF9">
        <w:rPr>
          <w:rFonts w:ascii="Times New Roman" w:hAnsi="Times New Roman" w:cs="Times New Roman"/>
        </w:rPr>
        <w:t>LAS NIÑAS Y LOS NIÑOS</w:t>
      </w:r>
      <w:proofErr w:type="gramEnd"/>
      <w:r w:rsidRPr="00FE4DF9">
        <w:rPr>
          <w:rFonts w:ascii="Times New Roman" w:hAnsi="Times New Roman" w:cs="Times New Roman"/>
        </w:rPr>
        <w:t xml:space="preserve"> DE PREESCOLAR, PARA HACER UNA INTERVENCIÓN PERTINENTE EN SITUACIONES EDUCATIVAS DIVERSAS, Y APORTAR EXPERIENCIAS Y REFLEXIONES AL CAMPO DE LA EDUCACIÓN PREESCOLAR</w:t>
      </w:r>
    </w:p>
    <w:p w14:paraId="14F30D45" w14:textId="28C7549A" w:rsidR="00F4099F" w:rsidRPr="008B6A98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340052B1" w14:textId="15486782" w:rsidR="001B2FED" w:rsidRPr="004F549B" w:rsidRDefault="00F4099F" w:rsidP="004F54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>LICENCIATURA</w:t>
      </w:r>
      <w:r w:rsidR="00020ED8" w:rsidRPr="008B6A98">
        <w:rPr>
          <w:rFonts w:ascii="Times New Roman" w:hAnsi="Times New Roman" w:cs="Times New Roman"/>
          <w:b/>
          <w:sz w:val="24"/>
          <w:szCs w:val="16"/>
        </w:rPr>
        <w:t xml:space="preserve"> EN EDUCACIÓN PREESCOLAR</w:t>
      </w:r>
    </w:p>
    <w:p w14:paraId="4C4BDC1F" w14:textId="15B79C54" w:rsidR="004F549B" w:rsidRPr="004F549B" w:rsidRDefault="00020ED8" w:rsidP="004F549B">
      <w:pPr>
        <w:spacing w:after="0" w:line="360" w:lineRule="auto"/>
        <w:ind w:firstLine="0"/>
        <w:rPr>
          <w:rFonts w:ascii="Times New Roman" w:hAnsi="Times New Roman" w:cs="Times New Roman"/>
          <w:b/>
          <w:szCs w:val="14"/>
        </w:rPr>
      </w:pPr>
      <w:r w:rsidRPr="008B6A98">
        <w:rPr>
          <w:rFonts w:ascii="Times New Roman" w:hAnsi="Times New Roman" w:cs="Times New Roman"/>
          <w:b/>
          <w:szCs w:val="14"/>
        </w:rPr>
        <w:t xml:space="preserve">SALTILLO, COAHUILA DE ZARAGOZA               </w:t>
      </w:r>
      <w:r w:rsidR="001B2FED" w:rsidRPr="008B6A98">
        <w:rPr>
          <w:rFonts w:ascii="Times New Roman" w:hAnsi="Times New Roman" w:cs="Times New Roman"/>
          <w:b/>
          <w:szCs w:val="14"/>
        </w:rPr>
        <w:t xml:space="preserve">         </w:t>
      </w:r>
      <w:r w:rsidRPr="008B6A98">
        <w:rPr>
          <w:rFonts w:ascii="Times New Roman" w:hAnsi="Times New Roman" w:cs="Times New Roman"/>
          <w:b/>
          <w:szCs w:val="14"/>
        </w:rPr>
        <w:t xml:space="preserve">             </w:t>
      </w:r>
      <w:r w:rsidR="00070357">
        <w:rPr>
          <w:rFonts w:ascii="Times New Roman" w:hAnsi="Times New Roman" w:cs="Times New Roman"/>
          <w:b/>
          <w:szCs w:val="14"/>
        </w:rPr>
        <w:t xml:space="preserve">        </w:t>
      </w:r>
      <w:r w:rsidR="00FE4DF9">
        <w:rPr>
          <w:rFonts w:ascii="Times New Roman" w:hAnsi="Times New Roman" w:cs="Times New Roman"/>
          <w:b/>
          <w:szCs w:val="14"/>
        </w:rPr>
        <w:t xml:space="preserve">                                                                                                                                                              </w:t>
      </w:r>
      <w:r w:rsidR="00070357">
        <w:rPr>
          <w:rFonts w:ascii="Times New Roman" w:hAnsi="Times New Roman" w:cs="Times New Roman"/>
          <w:b/>
          <w:szCs w:val="14"/>
        </w:rPr>
        <w:t xml:space="preserve">                 </w:t>
      </w:r>
      <w:r w:rsidRPr="008B6A98">
        <w:rPr>
          <w:rFonts w:ascii="Times New Roman" w:hAnsi="Times New Roman" w:cs="Times New Roman"/>
          <w:b/>
          <w:szCs w:val="14"/>
        </w:rPr>
        <w:t xml:space="preserve">           </w:t>
      </w:r>
      <w:r w:rsidR="00FE4DF9">
        <w:rPr>
          <w:rFonts w:ascii="Times New Roman" w:hAnsi="Times New Roman" w:cs="Times New Roman"/>
          <w:b/>
          <w:szCs w:val="14"/>
        </w:rPr>
        <w:t>JUNIO</w:t>
      </w:r>
      <w:r w:rsidR="00070357">
        <w:rPr>
          <w:rFonts w:ascii="Times New Roman" w:hAnsi="Times New Roman" w:cs="Times New Roman"/>
          <w:b/>
          <w:szCs w:val="14"/>
        </w:rPr>
        <w:t xml:space="preserve"> 2023</w:t>
      </w:r>
    </w:p>
    <w:p w14:paraId="4B44B488" w14:textId="77777777" w:rsidR="00FE4DF9" w:rsidRDefault="001B361C" w:rsidP="00FE4DF9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Introducción</w:t>
      </w:r>
    </w:p>
    <w:p w14:paraId="01BF75C5" w14:textId="4EDFBA2B" w:rsidR="00162A2F" w:rsidRPr="004F549B" w:rsidRDefault="00162A2F" w:rsidP="004F549B">
      <w:pPr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49B">
        <w:rPr>
          <w:rFonts w:ascii="Times New Roman" w:hAnsi="Times New Roman" w:cs="Times New Roman"/>
          <w:bCs/>
          <w:sz w:val="28"/>
          <w:szCs w:val="28"/>
        </w:rPr>
        <w:t>Este trabajo presenta comparaciones sobre la Escuela Francesa y la Escuela Latinoamericana las cuales nos hablen sobre diferentes puntos que resaltan de cada una de ellas respectivamente.</w:t>
      </w:r>
    </w:p>
    <w:p w14:paraId="3C0CD7A4" w14:textId="77777777" w:rsidR="004F549B" w:rsidRPr="004F549B" w:rsidRDefault="004F549B" w:rsidP="004F549B">
      <w:pPr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49B">
        <w:rPr>
          <w:rFonts w:ascii="Times New Roman" w:hAnsi="Times New Roman" w:cs="Times New Roman"/>
          <w:bCs/>
          <w:sz w:val="28"/>
          <w:szCs w:val="28"/>
        </w:rPr>
        <w:t>En este estudio comparativo, examinaremos las características de la escuela francesa y la escuela latinoamericana en diferentes áreas. Exploraremos cómo estos enfoques educativos han influido en el desarrollo de las sociedades y han moldeado las perspectivas y expectativas de los estudiantes en cada región.</w:t>
      </w:r>
    </w:p>
    <w:p w14:paraId="2FD9B23B" w14:textId="57784571" w:rsidR="004F549B" w:rsidRPr="004F549B" w:rsidRDefault="004F549B" w:rsidP="004F549B">
      <w:pPr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49B">
        <w:rPr>
          <w:rFonts w:ascii="Times New Roman" w:hAnsi="Times New Roman" w:cs="Times New Roman"/>
          <w:bCs/>
          <w:sz w:val="28"/>
          <w:szCs w:val="28"/>
        </w:rPr>
        <w:t>En resumen, este estudio comparativo tiene como objetivo explorar las características distintivas de la escuela francesa y la escuela latinoamericana y destacar las diferencias en términos de enfoques pedagógicos, y características generales.</w:t>
      </w:r>
    </w:p>
    <w:p w14:paraId="3C4BFF80" w14:textId="29E181FE" w:rsidR="00FE4DF9" w:rsidRPr="00FE4DF9" w:rsidRDefault="00FE4DF9" w:rsidP="00FE4DF9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Cuadro Comparativo</w:t>
      </w:r>
    </w:p>
    <w:p w14:paraId="68F81000" w14:textId="0FD523AE" w:rsidR="00FE4DF9" w:rsidRDefault="00FE4DF9" w:rsidP="00FE4D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4DF9">
        <w:rPr>
          <w:rFonts w:ascii="Times New Roman" w:hAnsi="Times New Roman" w:cs="Times New Roman"/>
          <w:sz w:val="28"/>
          <w:szCs w:val="28"/>
        </w:rPr>
        <w:t>Realiza un cuadro comparativo, que permit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E4DF9">
        <w:rPr>
          <w:rFonts w:ascii="Times New Roman" w:hAnsi="Times New Roman" w:cs="Times New Roman"/>
          <w:sz w:val="28"/>
          <w:szCs w:val="28"/>
        </w:rPr>
        <w:t xml:space="preserve"> contrastar la evolución de la didáctica de la matemática desde la escuela francesa, la latinoamericana, hasta la propuesta de la construcción social del conocimiento matemático; considerando variables de columnas en las que se lea la información en forma vertical y se establezca la comparación entre los elementos de las columnas</w:t>
      </w: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2935"/>
        <w:gridCol w:w="3639"/>
        <w:gridCol w:w="4271"/>
      </w:tblGrid>
      <w:tr w:rsidR="00066AC5" w14:paraId="2817EC60" w14:textId="4930DF54" w:rsidTr="00066AC5">
        <w:trPr>
          <w:trHeight w:val="1127"/>
        </w:trPr>
        <w:tc>
          <w:tcPr>
            <w:tcW w:w="2935" w:type="dxa"/>
          </w:tcPr>
          <w:p w14:paraId="42E383FE" w14:textId="77777777" w:rsidR="00066AC5" w:rsidRDefault="00066AC5" w:rsidP="00FE4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14:paraId="2D4B7679" w14:textId="67188AAA" w:rsidR="00066AC5" w:rsidRPr="00FE4DF9" w:rsidRDefault="00066AC5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Escuela Francesa.</w:t>
            </w:r>
          </w:p>
        </w:tc>
        <w:tc>
          <w:tcPr>
            <w:tcW w:w="4271" w:type="dxa"/>
          </w:tcPr>
          <w:p w14:paraId="430CD992" w14:textId="3359B1D7" w:rsidR="00066AC5" w:rsidRPr="00FE4DF9" w:rsidRDefault="00066AC5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Escuela Latinoamericana.</w:t>
            </w:r>
          </w:p>
        </w:tc>
      </w:tr>
      <w:tr w:rsidR="00066AC5" w14:paraId="7EE1C661" w14:textId="28674B4F" w:rsidTr="00066AC5">
        <w:trPr>
          <w:trHeight w:val="548"/>
        </w:trPr>
        <w:tc>
          <w:tcPr>
            <w:tcW w:w="2935" w:type="dxa"/>
          </w:tcPr>
          <w:p w14:paraId="5DBF50DC" w14:textId="0CC706BB" w:rsidR="00066AC5" w:rsidRDefault="00A95507" w:rsidP="00066A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Visión Constructivista. </w:t>
            </w:r>
          </w:p>
          <w:p w14:paraId="0204F860" w14:textId="214DB10D" w:rsidR="00066AC5" w:rsidRPr="00FE4DF9" w:rsidRDefault="00066AC5" w:rsidP="00066A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9" w:type="dxa"/>
          </w:tcPr>
          <w:p w14:paraId="13B92C68" w14:textId="40DC6026" w:rsidR="00066AC5" w:rsidRDefault="003B215C" w:rsidP="00FE4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El planteamiento de base en este enfoque es que el individuo es una construcción propia que se va produciendo como resultado de la interacción de sus disposiciones internas y su ambiente, y su conocimiento no es una copia de la realidad, sino una construcción que hace la persona misma.</w:t>
            </w:r>
          </w:p>
        </w:tc>
        <w:tc>
          <w:tcPr>
            <w:tcW w:w="4271" w:type="dxa"/>
          </w:tcPr>
          <w:p w14:paraId="41E947BB" w14:textId="5A9CA7F4" w:rsidR="00066AC5" w:rsidRPr="00DC4AC5" w:rsidRDefault="00DC4AC5" w:rsidP="00FE4DF9">
            <w:pPr>
              <w:ind w:firstLine="0"/>
              <w:rPr>
                <w:rFonts w:cstheme="minorHAnsi"/>
                <w:sz w:val="28"/>
                <w:szCs w:val="28"/>
              </w:rPr>
            </w:pPr>
            <w:r w:rsidRPr="00DC4AC5">
              <w:rPr>
                <w:rFonts w:cstheme="minorHAnsi"/>
              </w:rPr>
              <w:t>La visión constructivista de la escuela latinoamericana se basa en los principios de la teoría del constructivismo, que postula que los estudiantes construyen activamente su propio conocimiento a través de la interacción con su entorno y la reflexión sobre sus experiencias.</w:t>
            </w:r>
          </w:p>
        </w:tc>
      </w:tr>
      <w:tr w:rsidR="00066AC5" w14:paraId="310ED3FD" w14:textId="09F23E01" w:rsidTr="00066AC5">
        <w:trPr>
          <w:trHeight w:val="548"/>
        </w:trPr>
        <w:tc>
          <w:tcPr>
            <w:tcW w:w="2935" w:type="dxa"/>
          </w:tcPr>
          <w:p w14:paraId="75A18CDD" w14:textId="77777777" w:rsidR="00066AC5" w:rsidRDefault="00066AC5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59F3B4" w14:textId="5D3591D6" w:rsidR="00066AC5" w:rsidRPr="00FE4DF9" w:rsidRDefault="003B215C" w:rsidP="00066A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Características.</w:t>
            </w:r>
          </w:p>
        </w:tc>
        <w:tc>
          <w:tcPr>
            <w:tcW w:w="3639" w:type="dxa"/>
          </w:tcPr>
          <w:p w14:paraId="3FEA5AF6" w14:textId="77777777" w:rsidR="00066AC5" w:rsidRDefault="002C1DA7" w:rsidP="00FE4DF9">
            <w:pPr>
              <w:ind w:firstLine="0"/>
              <w:rPr>
                <w:rFonts w:cstheme="minorHAnsi"/>
              </w:rPr>
            </w:pPr>
            <w:r w:rsidRPr="002C1DA7">
              <w:rPr>
                <w:rFonts w:cstheme="minorHAnsi"/>
              </w:rPr>
              <w:t>-S</w:t>
            </w:r>
            <w:r w:rsidRPr="002C1DA7">
              <w:rPr>
                <w:rFonts w:cstheme="minorHAnsi"/>
              </w:rPr>
              <w:t>e ha destacado por su enfoque en la fenomenología, el existencialismo y la teoría crítica</w:t>
            </w:r>
            <w:r w:rsidRPr="002C1DA7">
              <w:rPr>
                <w:rFonts w:cstheme="minorHAnsi"/>
              </w:rPr>
              <w:t>.</w:t>
            </w:r>
          </w:p>
          <w:p w14:paraId="6DE701A7" w14:textId="13EE935C" w:rsidR="002C1DA7" w:rsidRPr="002C1DA7" w:rsidRDefault="002C1DA7" w:rsidP="00FE4DF9">
            <w:pPr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</w:rPr>
              <w:t>-S</w:t>
            </w:r>
            <w:r w:rsidRPr="002C1DA7">
              <w:rPr>
                <w:rFonts w:cstheme="minorHAnsi"/>
              </w:rPr>
              <w:t>e ha destacado por su enfoque en la economía política, la regulación estatal y la equidad social.</w:t>
            </w:r>
          </w:p>
        </w:tc>
        <w:tc>
          <w:tcPr>
            <w:tcW w:w="4271" w:type="dxa"/>
          </w:tcPr>
          <w:p w14:paraId="31BB079A" w14:textId="77777777" w:rsidR="00DC4AC5" w:rsidRDefault="00DC4AC5" w:rsidP="00DC4AC5">
            <w:pPr>
              <w:ind w:firstLine="0"/>
            </w:pPr>
            <w:r>
              <w:t xml:space="preserve">-El uso de la literatura y el arte para explorar temas sociales y políticos, como la desigualdad, la injusticia y la opresión. </w:t>
            </w:r>
          </w:p>
          <w:p w14:paraId="6F1F606E" w14:textId="77777777" w:rsidR="00DC4AC5" w:rsidRDefault="00DC4AC5" w:rsidP="00DC4AC5">
            <w:pPr>
              <w:ind w:firstLine="0"/>
            </w:pPr>
            <w:r>
              <w:t xml:space="preserve">-Una crítica al colonialismo y la influencia cultural de Europa y Estados Unidos en Latinoamérica. </w:t>
            </w:r>
          </w:p>
          <w:p w14:paraId="52374586" w14:textId="21C352B9" w:rsidR="00066AC5" w:rsidRDefault="00DC4AC5" w:rsidP="00DC4A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-La promoción del diálogo y la colaboración entre los artistas y escritores de la región.</w:t>
            </w:r>
          </w:p>
        </w:tc>
      </w:tr>
      <w:tr w:rsidR="00066AC5" w14:paraId="3BF4AC8B" w14:textId="3F431592" w:rsidTr="00066AC5">
        <w:trPr>
          <w:trHeight w:val="548"/>
        </w:trPr>
        <w:tc>
          <w:tcPr>
            <w:tcW w:w="2935" w:type="dxa"/>
          </w:tcPr>
          <w:p w14:paraId="333643D0" w14:textId="0DBE525A" w:rsidR="00066AC5" w:rsidRPr="00FE4DF9" w:rsidRDefault="00A95507" w:rsidP="00066A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Impacto.</w:t>
            </w:r>
          </w:p>
        </w:tc>
        <w:tc>
          <w:tcPr>
            <w:tcW w:w="3639" w:type="dxa"/>
          </w:tcPr>
          <w:p w14:paraId="43D45A87" w14:textId="59727309" w:rsidR="00066AC5" w:rsidRDefault="00DC4AC5" w:rsidP="00FE4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la Teoría de Situaciones en la enseñanza, en busca de las condiciones encaminadas a encontrar un origen simulado de los conocimientos matemáticos, partiendo de la hipótesis de que estos no se construyen de manera espontánea. Con esta teoría se estudian y modelan fenómenos didácticos que ocurren cuando un docente se propone enseñar una noción o un concepto que el alumno debe construir a partir de un conjunto de problemas</w:t>
            </w:r>
            <w:r>
              <w:t>.</w:t>
            </w:r>
          </w:p>
        </w:tc>
        <w:tc>
          <w:tcPr>
            <w:tcW w:w="4271" w:type="dxa"/>
          </w:tcPr>
          <w:p w14:paraId="44A1D053" w14:textId="7071E18E" w:rsidR="00066AC5" w:rsidRDefault="003B215C" w:rsidP="00FE4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Los escritores y artistas que formaron parte de este movimiento crearon obras que se convirtieron en un reflejo de la identidad y los valores latinoamericanos, y que a menudo tuvieron una gran influencia en la sociedad.</w:t>
            </w:r>
          </w:p>
        </w:tc>
      </w:tr>
      <w:tr w:rsidR="00066AC5" w14:paraId="48A927E2" w14:textId="7D43C502" w:rsidTr="00066AC5">
        <w:trPr>
          <w:trHeight w:val="548"/>
        </w:trPr>
        <w:tc>
          <w:tcPr>
            <w:tcW w:w="2935" w:type="dxa"/>
          </w:tcPr>
          <w:p w14:paraId="6D046FC3" w14:textId="77777777" w:rsidR="00066AC5" w:rsidRDefault="00066AC5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4C5841" w14:textId="3277A677" w:rsidR="00066AC5" w:rsidRPr="00FE4DF9" w:rsidRDefault="00DC4AC5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Didáctica.</w:t>
            </w:r>
          </w:p>
        </w:tc>
        <w:tc>
          <w:tcPr>
            <w:tcW w:w="3639" w:type="dxa"/>
          </w:tcPr>
          <w:p w14:paraId="11EBE2CC" w14:textId="31B6C34D" w:rsidR="00066AC5" w:rsidRPr="00DC4AC5" w:rsidRDefault="00DC4AC5" w:rsidP="00FE4DF9">
            <w:pPr>
              <w:ind w:firstLine="0"/>
              <w:rPr>
                <w:rFonts w:cstheme="minorHAnsi"/>
              </w:rPr>
            </w:pPr>
            <w:r>
              <w:rPr>
                <w:rStyle w:val="Textoennegrita"/>
                <w:rFonts w:cstheme="minorHAnsi"/>
                <w:b w:val="0"/>
                <w:bCs w:val="0"/>
                <w:color w:val="111111"/>
                <w:shd w:val="clear" w:color="auto" w:fill="FFFFFF"/>
              </w:rPr>
              <w:t>L</w:t>
            </w:r>
            <w:r w:rsidRPr="00DC4AC5">
              <w:rPr>
                <w:rStyle w:val="Textoennegrita"/>
                <w:rFonts w:cstheme="minorHAnsi"/>
                <w:b w:val="0"/>
                <w:bCs w:val="0"/>
                <w:color w:val="111111"/>
                <w:shd w:val="clear" w:color="auto" w:fill="FFFFFF"/>
              </w:rPr>
              <w:t>a didáctica en la postura latinoamericana</w:t>
            </w:r>
            <w:r w:rsidRPr="00DC4AC5">
              <w:rPr>
                <w:rFonts w:cstheme="minorHAnsi"/>
                <w:color w:val="111111"/>
                <w:shd w:val="clear" w:color="auto" w:fill="FFFFFF"/>
              </w:rPr>
              <w:t xml:space="preserve"> se concibe como una praxis humana y política que está siempre en contingencia y en </w:t>
            </w:r>
            <w:r w:rsidRPr="00DC4AC5">
              <w:rPr>
                <w:rFonts w:cstheme="minorHAnsi"/>
                <w:color w:val="111111"/>
                <w:shd w:val="clear" w:color="auto" w:fill="FFFFFF"/>
              </w:rPr>
              <w:lastRenderedPageBreak/>
              <w:t>construcción para proponer el encuentro del sujeto consigo mismo, con el otro y lo otro hacia la problematización y concientización partiendo de su cotidianidad.</w:t>
            </w:r>
          </w:p>
          <w:p w14:paraId="3DBD1CEE" w14:textId="77777777" w:rsidR="00066AC5" w:rsidRDefault="00066AC5" w:rsidP="00FE4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2A316" w14:textId="77777777" w:rsidR="00066AC5" w:rsidRDefault="00066AC5" w:rsidP="00FE4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1" w:type="dxa"/>
          </w:tcPr>
          <w:p w14:paraId="6C974500" w14:textId="1F4AC9A9" w:rsidR="00066AC5" w:rsidRDefault="00DC4AC5" w:rsidP="00FE4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>L</w:t>
            </w:r>
            <w:r>
              <w:t xml:space="preserve">a didáctica modifica el poderío de la antropología y la idea misma que nos hacemos de ella. Podría ser que mañana se convirtiera en el principio de una </w:t>
            </w:r>
            <w:r>
              <w:lastRenderedPageBreak/>
              <w:t xml:space="preserve">revolución”. Es así como bien podemos, desde esa misma antropología, hacer el intento de acoger los elementos que han venido desarrollándose desde la didáctica de las matemáticas y utilizarlos en el proceso de enseñanza-aprendizaje de las ciencias en ingeniería. </w:t>
            </w:r>
          </w:p>
        </w:tc>
      </w:tr>
    </w:tbl>
    <w:p w14:paraId="2265D3DF" w14:textId="77777777" w:rsidR="00FE4DF9" w:rsidRPr="00FE4DF9" w:rsidRDefault="00FE4DF9" w:rsidP="00FE4DF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BF9EEE9" w14:textId="67D9F5BD" w:rsidR="00162A2F" w:rsidRDefault="00770DFE" w:rsidP="004F549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61C">
        <w:rPr>
          <w:rFonts w:ascii="Times New Roman" w:hAnsi="Times New Roman" w:cs="Times New Roman"/>
          <w:b/>
          <w:bCs/>
          <w:sz w:val="28"/>
          <w:szCs w:val="28"/>
        </w:rPr>
        <w:t>Conclusiones</w:t>
      </w:r>
    </w:p>
    <w:p w14:paraId="58806586" w14:textId="1E273A80" w:rsidR="004F549B" w:rsidRPr="004F549B" w:rsidRDefault="004F549B" w:rsidP="004F549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49B">
        <w:rPr>
          <w:rFonts w:ascii="Times New Roman" w:hAnsi="Times New Roman" w:cs="Times New Roman"/>
          <w:sz w:val="28"/>
          <w:szCs w:val="28"/>
        </w:rPr>
        <w:t>En este estudio comparativo entre la escuela francesa y la escuela latinoamericana, hemos explorado las diferencias en términos de características generales. A lo largo del análisis, hemos observado que ambas corrientes educativas han dejado una marca significativa en sus respectivos enfoques y reflejan los valores y contextos socioculturales en los que se desarrollaron.</w:t>
      </w:r>
      <w:r w:rsidRPr="004F549B">
        <w:rPr>
          <w:rFonts w:ascii="Times New Roman" w:hAnsi="Times New Roman" w:cs="Times New Roman"/>
          <w:sz w:val="28"/>
          <w:szCs w:val="28"/>
        </w:rPr>
        <w:cr/>
        <w:t>Este trabajo basado en comparaciones nos ha brindado una visión más amplia y enriquecedora de la educación, permitiéndonos apreciar la diversidad de enfoques y prácticas educativas en diferentes contextos</w:t>
      </w:r>
      <w:r w:rsidRPr="004F549B">
        <w:rPr>
          <w:rFonts w:ascii="Times New Roman" w:hAnsi="Times New Roman" w:cs="Times New Roman"/>
          <w:sz w:val="28"/>
          <w:szCs w:val="28"/>
        </w:rPr>
        <w:t>.</w:t>
      </w:r>
    </w:p>
    <w:p w14:paraId="7242C6C2" w14:textId="6A10CFBD" w:rsidR="00F4099F" w:rsidRDefault="00F4099F" w:rsidP="008852E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A98">
        <w:rPr>
          <w:rFonts w:ascii="Times New Roman" w:hAnsi="Times New Roman" w:cs="Times New Roman"/>
          <w:b/>
          <w:sz w:val="28"/>
          <w:szCs w:val="24"/>
        </w:rPr>
        <w:t>Referencias</w:t>
      </w:r>
    </w:p>
    <w:p w14:paraId="7FC07858" w14:textId="5785FB88" w:rsidR="00162A2F" w:rsidRDefault="00162A2F" w:rsidP="00162A2F">
      <w:pPr>
        <w:ind w:firstLine="0"/>
        <w:jc w:val="center"/>
      </w:pPr>
      <w:proofErr w:type="spellStart"/>
      <w:r>
        <w:t>Cossio</w:t>
      </w:r>
      <w:proofErr w:type="spellEnd"/>
      <w:r>
        <w:t xml:space="preserve"> </w:t>
      </w:r>
      <w:proofErr w:type="gramStart"/>
      <w:r>
        <w:t>moreno(</w:t>
      </w:r>
      <w:proofErr w:type="gramEnd"/>
      <w:r>
        <w:t>2016)</w:t>
      </w:r>
      <w:r w:rsidRPr="00162A2F">
        <w:t xml:space="preserve"> </w:t>
      </w:r>
      <w:r>
        <w:t>pedagogías y didácticas críticas latinoamericanas: la obra de paulo freire y estela quintar. Universidad de Medellín</w:t>
      </w:r>
    </w:p>
    <w:p w14:paraId="5F10403E" w14:textId="6F41FEF6" w:rsidR="00162A2F" w:rsidRPr="00162A2F" w:rsidRDefault="00162A2F" w:rsidP="00162A2F">
      <w:pPr>
        <w:ind w:firstLine="0"/>
        <w:jc w:val="center"/>
      </w:pPr>
      <w:r>
        <w:t xml:space="preserve">Revista EIA, ISSN 1794-1237 Número 10, p. 55-71. </w:t>
      </w:r>
      <w:proofErr w:type="gramStart"/>
      <w:r>
        <w:t>Diciembre</w:t>
      </w:r>
      <w:proofErr w:type="gramEnd"/>
      <w:r>
        <w:t xml:space="preserve"> 2008 Escuela de Ingeniería de Antioquia, Medellín (Colombia)</w:t>
      </w:r>
    </w:p>
    <w:p w14:paraId="07D9E0AE" w14:textId="77777777" w:rsidR="00DB01EC" w:rsidRPr="008B6A98" w:rsidRDefault="00DB01EC" w:rsidP="00DB01EC">
      <w:pPr>
        <w:spacing w:after="160" w:line="259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FD9DB15" w14:textId="11CBA6AA" w:rsidR="0034272F" w:rsidRPr="008B6A98" w:rsidRDefault="00F4099F" w:rsidP="00F4099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A98">
        <w:rPr>
          <w:rFonts w:ascii="Times New Roman" w:hAnsi="Times New Roman" w:cs="Times New Roman"/>
          <w:b/>
          <w:sz w:val="28"/>
          <w:szCs w:val="24"/>
        </w:rPr>
        <w:t>Anexos</w:t>
      </w:r>
    </w:p>
    <w:p w14:paraId="0037D63F" w14:textId="501A208D" w:rsidR="00F4099F" w:rsidRDefault="00F4099F" w:rsidP="00F4099F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6A98">
        <w:rPr>
          <w:rFonts w:ascii="Times New Roman" w:hAnsi="Times New Roman" w:cs="Times New Roman"/>
          <w:sz w:val="24"/>
          <w:szCs w:val="24"/>
        </w:rPr>
        <w:t xml:space="preserve">Anexo 1, p. 2. Rúbrica para </w:t>
      </w:r>
      <w:r w:rsidR="00DB01EC" w:rsidRPr="008B6A98">
        <w:rPr>
          <w:rFonts w:ascii="Times New Roman" w:hAnsi="Times New Roman" w:cs="Times New Roman"/>
          <w:sz w:val="24"/>
          <w:szCs w:val="24"/>
        </w:rPr>
        <w:t>e</w:t>
      </w:r>
      <w:r w:rsidRPr="008B6A98">
        <w:rPr>
          <w:rFonts w:ascii="Times New Roman" w:hAnsi="Times New Roman" w:cs="Times New Roman"/>
          <w:sz w:val="24"/>
          <w:szCs w:val="24"/>
        </w:rPr>
        <w:t xml:space="preserve">valuar </w:t>
      </w:r>
      <w:r w:rsidR="00070357">
        <w:rPr>
          <w:rFonts w:ascii="Times New Roman" w:hAnsi="Times New Roman" w:cs="Times New Roman"/>
          <w:sz w:val="24"/>
          <w:szCs w:val="24"/>
        </w:rPr>
        <w:t>artículo</w:t>
      </w:r>
    </w:p>
    <w:tbl>
      <w:tblPr>
        <w:tblStyle w:val="Tablaconcuadrcula"/>
        <w:tblW w:w="5352" w:type="pct"/>
        <w:tblLayout w:type="fixed"/>
        <w:tblLook w:val="04A0" w:firstRow="1" w:lastRow="0" w:firstColumn="1" w:lastColumn="0" w:noHBand="0" w:noVBand="1"/>
      </w:tblPr>
      <w:tblGrid>
        <w:gridCol w:w="3384"/>
        <w:gridCol w:w="4134"/>
        <w:gridCol w:w="3529"/>
        <w:gridCol w:w="1983"/>
        <w:gridCol w:w="1682"/>
        <w:gridCol w:w="1706"/>
        <w:gridCol w:w="1706"/>
        <w:gridCol w:w="1903"/>
      </w:tblGrid>
      <w:tr w:rsidR="001B361C" w:rsidRPr="008B6A98" w14:paraId="18D8C039" w14:textId="77777777" w:rsidTr="001B361C">
        <w:trPr>
          <w:trHeight w:val="2511"/>
        </w:trPr>
        <w:tc>
          <w:tcPr>
            <w:tcW w:w="1877" w:type="pct"/>
            <w:gridSpan w:val="2"/>
          </w:tcPr>
          <w:p w14:paraId="1A45C14E" w14:textId="0A36ED72" w:rsidR="00061AB4" w:rsidRPr="000C7DD7" w:rsidRDefault="00061AB4" w:rsidP="00070357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0C7DD7">
              <w:rPr>
                <w:rFonts w:ascii="Times New Roman" w:eastAsia="Times New Roman" w:hAnsi="Times New Roman" w:cs="Times New Roman"/>
                <w:b/>
              </w:rPr>
              <w:t xml:space="preserve">Competencia: </w:t>
            </w:r>
            <w:r w:rsidRPr="000C7DD7">
              <w:rPr>
                <w:rFonts w:ascii="Times New Roman" w:hAnsi="Times New Roman" w:cs="Times New Roman"/>
              </w:rPr>
              <w:t xml:space="preserve">Valora y aplica la investigación educativa como proceso complejo, continuo y crítico que permite reconocer los procesos de desarrollo y aprendizaje, así como la realidad sociocultural de </w:t>
            </w:r>
            <w:proofErr w:type="gramStart"/>
            <w:r w:rsidRPr="000C7DD7">
              <w:rPr>
                <w:rFonts w:ascii="Times New Roman" w:hAnsi="Times New Roman" w:cs="Times New Roman"/>
              </w:rPr>
              <w:t>las niñas y los niños</w:t>
            </w:r>
            <w:proofErr w:type="gramEnd"/>
            <w:r w:rsidRPr="000C7DD7">
              <w:rPr>
                <w:rFonts w:ascii="Times New Roman" w:hAnsi="Times New Roman" w:cs="Times New Roman"/>
              </w:rPr>
              <w:t xml:space="preserve"> de preescolar, para hacer una intervención pertinente en situaciones educativas diversas, y aportar experiencias y reflexiones al campo de la educación preescolar.</w:t>
            </w:r>
          </w:p>
        </w:tc>
        <w:tc>
          <w:tcPr>
            <w:tcW w:w="3123" w:type="pct"/>
            <w:gridSpan w:val="6"/>
          </w:tcPr>
          <w:p w14:paraId="66746429" w14:textId="77777777" w:rsidR="00FE4DF9" w:rsidRDefault="00061AB4" w:rsidP="00FE4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 xml:space="preserve">Planteamiento del problema: </w:t>
            </w:r>
            <w:r w:rsidR="00FE4DF9" w:rsidRPr="00FE4DF9">
              <w:rPr>
                <w:rFonts w:ascii="Times New Roman" w:hAnsi="Times New Roman" w:cs="Times New Roman"/>
                <w:sz w:val="28"/>
                <w:szCs w:val="28"/>
              </w:rPr>
              <w:t>Realiza un cuadro comparativo, que permit</w:t>
            </w:r>
            <w:r w:rsidR="00FE4D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E4DF9" w:rsidRPr="00FE4DF9">
              <w:rPr>
                <w:rFonts w:ascii="Times New Roman" w:hAnsi="Times New Roman" w:cs="Times New Roman"/>
                <w:sz w:val="28"/>
                <w:szCs w:val="28"/>
              </w:rPr>
              <w:t xml:space="preserve"> contrastar la evolución de la didáctica de la matemática desde la escuela francesa, la latinoamericana, hasta la propuesta de la construcción social del conocimiento matemático; considerando variables de columnas en las que se lea la información en forma vertical y se establezca la comparación entre los elementos de las columnas</w:t>
            </w:r>
          </w:p>
          <w:p w14:paraId="253261A5" w14:textId="1A33598E" w:rsidR="00061AB4" w:rsidRPr="008B6A98" w:rsidRDefault="00061AB4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361C" w:rsidRPr="008B6A98" w14:paraId="6B9EBDCE" w14:textId="77777777" w:rsidTr="001B361C">
        <w:trPr>
          <w:trHeight w:val="877"/>
        </w:trPr>
        <w:tc>
          <w:tcPr>
            <w:tcW w:w="845" w:type="pct"/>
          </w:tcPr>
          <w:p w14:paraId="4E5316E9" w14:textId="79B2794F" w:rsidR="00061AB4" w:rsidRPr="000C7DD7" w:rsidRDefault="00061AB4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DD7">
              <w:rPr>
                <w:rFonts w:ascii="Times New Roman" w:eastAsia="Times New Roman" w:hAnsi="Times New Roman" w:cs="Times New Roman"/>
                <w:b/>
                <w:bCs/>
              </w:rPr>
              <w:t>Elementos para evaluar</w:t>
            </w:r>
          </w:p>
        </w:tc>
        <w:tc>
          <w:tcPr>
            <w:tcW w:w="1913" w:type="pct"/>
            <w:gridSpan w:val="2"/>
          </w:tcPr>
          <w:p w14:paraId="32A7E0F8" w14:textId="3FCFFD94" w:rsidR="00061AB4" w:rsidRPr="000C7DD7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DD7">
              <w:rPr>
                <w:rFonts w:ascii="Times New Roman" w:eastAsia="Times New Roman" w:hAnsi="Times New Roman" w:cs="Times New Roman"/>
                <w:b/>
              </w:rPr>
              <w:t>Criterios de evaluación</w:t>
            </w:r>
          </w:p>
        </w:tc>
        <w:tc>
          <w:tcPr>
            <w:tcW w:w="495" w:type="pct"/>
            <w:vAlign w:val="center"/>
          </w:tcPr>
          <w:p w14:paraId="09B1D0AD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14:paraId="64A2B811" w14:textId="4B72DA7C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Suficiente</w:t>
            </w:r>
          </w:p>
        </w:tc>
        <w:tc>
          <w:tcPr>
            <w:tcW w:w="420" w:type="pct"/>
            <w:vAlign w:val="center"/>
          </w:tcPr>
          <w:p w14:paraId="036E8E06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14:paraId="517C52B2" w14:textId="194D2244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Regular</w:t>
            </w:r>
          </w:p>
        </w:tc>
        <w:tc>
          <w:tcPr>
            <w:tcW w:w="426" w:type="pct"/>
            <w:vAlign w:val="center"/>
          </w:tcPr>
          <w:p w14:paraId="09DD4B5E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14:paraId="297D4D6F" w14:textId="74B0B62B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Bien</w:t>
            </w:r>
          </w:p>
        </w:tc>
        <w:tc>
          <w:tcPr>
            <w:tcW w:w="426" w:type="pct"/>
            <w:vAlign w:val="center"/>
          </w:tcPr>
          <w:p w14:paraId="60FAB1DF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14:paraId="47105BD6" w14:textId="1034AA68" w:rsidR="00061AB4" w:rsidRP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Muybien</w:t>
            </w:r>
            <w:proofErr w:type="spellEnd"/>
          </w:p>
        </w:tc>
        <w:tc>
          <w:tcPr>
            <w:tcW w:w="474" w:type="pct"/>
            <w:vAlign w:val="center"/>
          </w:tcPr>
          <w:p w14:paraId="25F1C68F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10</w:t>
            </w:r>
          </w:p>
          <w:p w14:paraId="59A009A4" w14:textId="70B33D1F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Excelente</w:t>
            </w:r>
          </w:p>
        </w:tc>
      </w:tr>
      <w:tr w:rsidR="001B361C" w:rsidRPr="008B6A98" w14:paraId="6C136302" w14:textId="77777777" w:rsidTr="001B361C">
        <w:trPr>
          <w:trHeight w:val="877"/>
        </w:trPr>
        <w:tc>
          <w:tcPr>
            <w:tcW w:w="845" w:type="pct"/>
          </w:tcPr>
          <w:p w14:paraId="0C43F259" w14:textId="001E8CD1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 xml:space="preserve">El trabajo cumple con todos los elementos que debe incluirse en </w:t>
            </w:r>
            <w:r w:rsidR="001B361C">
              <w:rPr>
                <w:rFonts w:ascii="Times New Roman" w:eastAsia="Times New Roman" w:hAnsi="Times New Roman" w:cs="Times New Roman"/>
              </w:rPr>
              <w:t>un escrito</w:t>
            </w:r>
          </w:p>
        </w:tc>
        <w:tc>
          <w:tcPr>
            <w:tcW w:w="1913" w:type="pct"/>
            <w:gridSpan w:val="2"/>
            <w:vAlign w:val="center"/>
          </w:tcPr>
          <w:p w14:paraId="3556BC2F" w14:textId="77777777" w:rsidR="00061AB4" w:rsidRPr="000C7DD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DD7">
              <w:rPr>
                <w:rFonts w:ascii="Times New Roman" w:eastAsia="Times New Roman" w:hAnsi="Times New Roman" w:cs="Times New Roman"/>
                <w:bCs/>
              </w:rPr>
              <w:t>Contiene la estructura completa sin omitir componentes</w:t>
            </w:r>
          </w:p>
          <w:p w14:paraId="3D86F5CF" w14:textId="02DB6648" w:rsidR="000C7DD7" w:rsidRPr="000C7DD7" w:rsidRDefault="000C7DD7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5" w:type="pct"/>
            <w:vAlign w:val="center"/>
          </w:tcPr>
          <w:p w14:paraId="25B50857" w14:textId="15E431A3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2D0DBA70" w14:textId="6E50FCD3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02B62372" w14:textId="340016DA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207A8E34" w14:textId="027967C4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  <w:vAlign w:val="center"/>
          </w:tcPr>
          <w:p w14:paraId="18AE26CE" w14:textId="1E94E46F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361C" w:rsidRPr="008B6A98" w14:paraId="001E2CC8" w14:textId="77777777" w:rsidTr="001B361C">
        <w:trPr>
          <w:trHeight w:val="877"/>
        </w:trPr>
        <w:tc>
          <w:tcPr>
            <w:tcW w:w="845" w:type="pct"/>
          </w:tcPr>
          <w:p w14:paraId="4333DC7C" w14:textId="070AA500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>Objetivo y problemática</w:t>
            </w:r>
          </w:p>
        </w:tc>
        <w:tc>
          <w:tcPr>
            <w:tcW w:w="1913" w:type="pct"/>
            <w:gridSpan w:val="2"/>
            <w:vAlign w:val="center"/>
          </w:tcPr>
          <w:p w14:paraId="3BDE1B10" w14:textId="23D0F35E" w:rsidR="00061AB4" w:rsidRPr="000C7DD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DD7">
              <w:rPr>
                <w:rFonts w:ascii="Times New Roman" w:hAnsi="Times New Roman" w:cs="Times New Roman"/>
              </w:rPr>
              <w:t>La introducción presenta de manera clara y precisa el objetivo del texto, el problema que se aborda o el punto de partida del documento, así como la descripción de</w:t>
            </w:r>
            <w:r w:rsidR="001B361C">
              <w:rPr>
                <w:rFonts w:ascii="Times New Roman" w:hAnsi="Times New Roman" w:cs="Times New Roman"/>
              </w:rPr>
              <w:t>l contenido del documento.</w:t>
            </w:r>
          </w:p>
        </w:tc>
        <w:tc>
          <w:tcPr>
            <w:tcW w:w="495" w:type="pct"/>
            <w:vAlign w:val="center"/>
          </w:tcPr>
          <w:p w14:paraId="379E659A" w14:textId="068E7105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52AC95A4" w14:textId="219283BE" w:rsidR="00061AB4" w:rsidRPr="008B6A98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pct"/>
            <w:vAlign w:val="center"/>
          </w:tcPr>
          <w:p w14:paraId="41F5A678" w14:textId="0CD4DFF7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08002708" w14:textId="5DA0CA0D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  <w:vAlign w:val="center"/>
          </w:tcPr>
          <w:p w14:paraId="08E624CB" w14:textId="510C3E54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361C" w:rsidRPr="008B6A98" w14:paraId="74890867" w14:textId="77777777" w:rsidTr="001B361C">
        <w:trPr>
          <w:trHeight w:val="877"/>
        </w:trPr>
        <w:tc>
          <w:tcPr>
            <w:tcW w:w="845" w:type="pct"/>
          </w:tcPr>
          <w:p w14:paraId="088EC23B" w14:textId="6B25B361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>Contenido</w:t>
            </w:r>
          </w:p>
        </w:tc>
        <w:tc>
          <w:tcPr>
            <w:tcW w:w="1913" w:type="pct"/>
            <w:gridSpan w:val="2"/>
            <w:vAlign w:val="center"/>
          </w:tcPr>
          <w:p w14:paraId="1834715A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el impacto de la Escuela Francesa; teoría de situaciones didácticas en la enseñanza de las matemáticas </w:t>
            </w:r>
          </w:p>
          <w:p w14:paraId="7CC79C09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la relación entre la Teoría de campos conceptuales y la Transposición didáctica </w:t>
            </w:r>
          </w:p>
          <w:p w14:paraId="7DD90B8D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Explica en qué consiste la matemática como problema de comunicación </w:t>
            </w:r>
          </w:p>
          <w:p w14:paraId="33CC6EBE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los límites, relaciones y diferencias entre la matemática crítica la educación matemática realista </w:t>
            </w:r>
          </w:p>
          <w:p w14:paraId="1F351FE6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Explica en qué consiste la didáctica de las matemáticas </w:t>
            </w:r>
          </w:p>
          <w:p w14:paraId="6EA92E9B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Menciona las diferencias entre: didáctica, educación matemática, o/y matemática educativa </w:t>
            </w:r>
          </w:p>
          <w:p w14:paraId="60F55F23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Caracteriza los obstáculos epistemológicos, ontogenéticos y didácticos que inciden en el proceso de enseñanza y aprendizaje y limitan el desarrollo del pensamiento matemático en el alumnado de preescolar. </w:t>
            </w:r>
          </w:p>
          <w:p w14:paraId="5D23BD6E" w14:textId="77777777" w:rsidR="000C7DD7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Presenta la evolución del estudio de las teorías didácticas de la matemática educativa; con la finalidad de contar con marcos explicativos en torno a la didáctica</w:t>
            </w:r>
          </w:p>
          <w:p w14:paraId="265FF4A8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Está estructurado por columnas y filas con su etiqueta que represente una idea o concepto principal.</w:t>
            </w:r>
          </w:p>
          <w:p w14:paraId="50930E69" w14:textId="7CAFA764" w:rsidR="00FE4DF9" w:rsidRPr="000C7DD7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Incluye celdas o huecos (slots), donde se vacían, distintos tipos de información (hechos, conceptos, principios, observaciones, descripciones, explicaciones, procesos o procedimientos, e incluso ilustraciones de diverso tipo</w:t>
            </w:r>
          </w:p>
        </w:tc>
        <w:tc>
          <w:tcPr>
            <w:tcW w:w="495" w:type="pct"/>
            <w:vAlign w:val="center"/>
          </w:tcPr>
          <w:p w14:paraId="67BE0C53" w14:textId="52C0FC12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00EBC384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6FB85FFD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0F47603B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  <w:vAlign w:val="center"/>
          </w:tcPr>
          <w:p w14:paraId="40436511" w14:textId="5DC00BB5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61C" w:rsidRPr="008B6A98" w14:paraId="6AC5599A" w14:textId="77777777" w:rsidTr="001B361C">
        <w:trPr>
          <w:trHeight w:val="877"/>
        </w:trPr>
        <w:tc>
          <w:tcPr>
            <w:tcW w:w="845" w:type="pct"/>
          </w:tcPr>
          <w:p w14:paraId="0798A7BB" w14:textId="620BCE50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>Colaboración y trabajo en equipo</w:t>
            </w:r>
          </w:p>
        </w:tc>
        <w:tc>
          <w:tcPr>
            <w:tcW w:w="1913" w:type="pct"/>
            <w:gridSpan w:val="2"/>
          </w:tcPr>
          <w:p w14:paraId="2A7C06EF" w14:textId="77777777" w:rsidR="000C7DD7" w:rsidRPr="000C7DD7" w:rsidRDefault="000C7DD7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t xml:space="preserve">Trabaja en equipo, logrando debatir ideas y/o posturas del artículo. </w:t>
            </w:r>
          </w:p>
          <w:p w14:paraId="08B47090" w14:textId="0D4EFE3C" w:rsidR="000C7DD7" w:rsidRPr="000C7DD7" w:rsidRDefault="000C7DD7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t xml:space="preserve">Respeta las ideas de sus colegas </w:t>
            </w:r>
          </w:p>
          <w:p w14:paraId="241EBCC1" w14:textId="77777777" w:rsidR="000C7DD7" w:rsidRDefault="000C7DD7" w:rsidP="001B361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t xml:space="preserve">Reflexiona sobre su papel docente en la construcción del pensamiento matemático en preescolar.  </w:t>
            </w:r>
          </w:p>
          <w:p w14:paraId="7D1C4A93" w14:textId="539B2A8C" w:rsidR="00FE4DF9" w:rsidRPr="001B361C" w:rsidRDefault="00FE4DF9" w:rsidP="001B361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Cuida el aprendizaje de las matemáticas con enfoque incluyente</w:t>
            </w:r>
          </w:p>
        </w:tc>
        <w:tc>
          <w:tcPr>
            <w:tcW w:w="495" w:type="pct"/>
            <w:vAlign w:val="center"/>
          </w:tcPr>
          <w:p w14:paraId="06676636" w14:textId="349CC41D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47C8DEB6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0014D5B2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3A56BE85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  <w:vAlign w:val="center"/>
          </w:tcPr>
          <w:p w14:paraId="2CD7B847" w14:textId="77777777" w:rsidR="00061AB4" w:rsidRP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1344B7" w14:textId="77777777" w:rsidR="00070357" w:rsidRDefault="00070357" w:rsidP="00F4099F">
      <w:pPr>
        <w:spacing w:line="259" w:lineRule="auto"/>
      </w:pPr>
    </w:p>
    <w:p w14:paraId="04D241DA" w14:textId="77777777" w:rsidR="0034272F" w:rsidRPr="008B6A98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507AA" w14:textId="77777777" w:rsidR="0034272F" w:rsidRPr="008B6A98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3B277" w14:textId="77777777" w:rsidR="0034272F" w:rsidRPr="008B6A98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2516E" w14:textId="77777777" w:rsidR="0034272F" w:rsidRPr="008B6A98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AA668" w14:textId="77777777" w:rsidR="0034272F" w:rsidRPr="008B6A98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E952A" w14:textId="77777777" w:rsidR="0034272F" w:rsidRPr="008B6A98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D1445" w14:textId="77777777" w:rsidR="0034272F" w:rsidRPr="008B6A98" w:rsidRDefault="0034272F" w:rsidP="0034272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2EAAF" w14:textId="5E333BE2" w:rsidR="0034272F" w:rsidRPr="008B6A98" w:rsidRDefault="0034272F" w:rsidP="00D77064">
      <w:pPr>
        <w:spacing w:line="25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4272F" w:rsidRPr="008B6A98" w:rsidSect="00FE4DF9">
          <w:pgSz w:w="20160" w:h="12240" w:orient="landscape" w:code="5"/>
          <w:pgMar w:top="720" w:right="720" w:bottom="720" w:left="720" w:header="709" w:footer="709" w:gutter="0"/>
          <w:cols w:space="708"/>
          <w:docGrid w:linePitch="360"/>
        </w:sectPr>
      </w:pPr>
    </w:p>
    <w:p w14:paraId="72E6E52A" w14:textId="0E47DF0F" w:rsidR="0034272F" w:rsidRPr="008B6A98" w:rsidRDefault="0034272F" w:rsidP="00D7706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EF26B74" w14:textId="77777777" w:rsidR="0034272F" w:rsidRPr="008B6A98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51109E5" w14:textId="77777777" w:rsidR="0034272F" w:rsidRPr="008B6A98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9B57E58" w14:textId="77777777" w:rsidR="0034272F" w:rsidRPr="008B6A98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2BCBBE1" w14:textId="77777777" w:rsidR="0034272F" w:rsidRPr="008B6A98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D806C45" w14:textId="77777777" w:rsidR="0034272F" w:rsidRPr="008B6A98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C308E08" w14:textId="2B2C512F" w:rsidR="0034272F" w:rsidRPr="008B6A98" w:rsidRDefault="0034272F" w:rsidP="00F4099F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DC5C3A4" w14:textId="77777777" w:rsidR="0034272F" w:rsidRPr="008B6A98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6EF3DD3" w14:textId="77777777" w:rsidR="0034272F" w:rsidRPr="008B6A98" w:rsidRDefault="0034272F" w:rsidP="0034272F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32399EC" w14:textId="77777777" w:rsidR="0034272F" w:rsidRPr="008B6A98" w:rsidRDefault="0034272F" w:rsidP="0034272F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7D4DD81" w14:textId="77777777" w:rsidR="0034272F" w:rsidRPr="008B6A98" w:rsidRDefault="0034272F" w:rsidP="0034272F">
      <w:pPr>
        <w:rPr>
          <w:rFonts w:ascii="Times New Roman" w:hAnsi="Times New Roman" w:cs="Times New Roman"/>
        </w:rPr>
      </w:pPr>
    </w:p>
    <w:p w14:paraId="19F4D64D" w14:textId="77777777" w:rsidR="009D5EFF" w:rsidRPr="008B6A98" w:rsidRDefault="009D5EFF" w:rsidP="000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9429F5" w14:textId="77777777" w:rsidR="009D5EFF" w:rsidRPr="008B6A98" w:rsidRDefault="009D5EFF" w:rsidP="00020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D5EFF" w:rsidRPr="008B6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7AB"/>
    <w:multiLevelType w:val="hybridMultilevel"/>
    <w:tmpl w:val="7F8EC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363"/>
    <w:multiLevelType w:val="hybridMultilevel"/>
    <w:tmpl w:val="4EA8D7DA"/>
    <w:lvl w:ilvl="0" w:tplc="502C037A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E11455E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653E8DFC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82265A20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D018B23C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35ECEC48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32DEF9B8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BBD0B8B6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98489A26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2" w15:restartNumberingAfterBreak="0">
    <w:nsid w:val="14220433"/>
    <w:multiLevelType w:val="hybridMultilevel"/>
    <w:tmpl w:val="9238F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0E0D"/>
    <w:multiLevelType w:val="hybridMultilevel"/>
    <w:tmpl w:val="CEC03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F1754"/>
    <w:multiLevelType w:val="hybridMultilevel"/>
    <w:tmpl w:val="2F264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66A6"/>
    <w:multiLevelType w:val="hybridMultilevel"/>
    <w:tmpl w:val="AD34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9A3589"/>
    <w:multiLevelType w:val="hybridMultilevel"/>
    <w:tmpl w:val="2ABE3490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8371777">
    <w:abstractNumId w:val="3"/>
  </w:num>
  <w:num w:numId="2" w16cid:durableId="1518735002">
    <w:abstractNumId w:val="6"/>
  </w:num>
  <w:num w:numId="3" w16cid:durableId="654184425">
    <w:abstractNumId w:val="2"/>
  </w:num>
  <w:num w:numId="4" w16cid:durableId="1112163316">
    <w:abstractNumId w:val="0"/>
  </w:num>
  <w:num w:numId="5" w16cid:durableId="923758566">
    <w:abstractNumId w:val="4"/>
  </w:num>
  <w:num w:numId="6" w16cid:durableId="895624730">
    <w:abstractNumId w:val="5"/>
  </w:num>
  <w:num w:numId="7" w16cid:durableId="148867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D8"/>
    <w:rsid w:val="00020ED8"/>
    <w:rsid w:val="00061AB4"/>
    <w:rsid w:val="00066AC5"/>
    <w:rsid w:val="00070357"/>
    <w:rsid w:val="000B5A9F"/>
    <w:rsid w:val="000C7DD7"/>
    <w:rsid w:val="00162A2F"/>
    <w:rsid w:val="001B2FED"/>
    <w:rsid w:val="001B361C"/>
    <w:rsid w:val="002C1DA7"/>
    <w:rsid w:val="0034272F"/>
    <w:rsid w:val="00360356"/>
    <w:rsid w:val="003B215C"/>
    <w:rsid w:val="004F549B"/>
    <w:rsid w:val="00513D2E"/>
    <w:rsid w:val="0054718F"/>
    <w:rsid w:val="00603E18"/>
    <w:rsid w:val="0074235E"/>
    <w:rsid w:val="00770DFE"/>
    <w:rsid w:val="00787E35"/>
    <w:rsid w:val="007E6FED"/>
    <w:rsid w:val="008852EC"/>
    <w:rsid w:val="008B5CC6"/>
    <w:rsid w:val="008B6A98"/>
    <w:rsid w:val="009D5EFF"/>
    <w:rsid w:val="00A03FCA"/>
    <w:rsid w:val="00A37B6E"/>
    <w:rsid w:val="00A95507"/>
    <w:rsid w:val="00AA77F8"/>
    <w:rsid w:val="00AE78DA"/>
    <w:rsid w:val="00BE633D"/>
    <w:rsid w:val="00C05832"/>
    <w:rsid w:val="00D32909"/>
    <w:rsid w:val="00D77064"/>
    <w:rsid w:val="00DB01EC"/>
    <w:rsid w:val="00DC4AC5"/>
    <w:rsid w:val="00F4099F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EA30"/>
  <w15:chartTrackingRefBased/>
  <w15:docId w15:val="{119F0F07-038B-4357-94E4-97D03F91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D8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B01EC"/>
    <w:pPr>
      <w:keepNext/>
      <w:keepLines/>
      <w:spacing w:before="40" w:after="0" w:line="360" w:lineRule="auto"/>
      <w:jc w:val="both"/>
      <w:outlineLvl w:val="1"/>
    </w:pPr>
    <w:rPr>
      <w:rFonts w:ascii="Arial" w:eastAsiaTheme="majorEastAsia" w:hAnsi="Arial" w:cs="Times New Roman"/>
      <w:color w:val="595959" w:themeColor="text1" w:themeTint="A6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2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ED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427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27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 w:eastAsia="es-MX"/>
    </w:rPr>
  </w:style>
  <w:style w:type="character" w:customStyle="1" w:styleId="Ninguno">
    <w:name w:val="Ninguno"/>
    <w:rsid w:val="00F4099F"/>
    <w:rPr>
      <w:lang w:val="de-DE"/>
    </w:rPr>
  </w:style>
  <w:style w:type="table" w:customStyle="1" w:styleId="TableNormal">
    <w:name w:val="Table Normal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B01EC"/>
    <w:rPr>
      <w:rFonts w:ascii="Arial" w:eastAsiaTheme="majorEastAsia" w:hAnsi="Arial" w:cs="Times New Roman"/>
      <w:color w:val="595959" w:themeColor="text1" w:themeTint="A6"/>
      <w:sz w:val="28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DB01EC"/>
    <w:pPr>
      <w:spacing w:after="160" w:line="259" w:lineRule="auto"/>
      <w:ind w:firstLine="0"/>
    </w:pPr>
    <w:rPr>
      <w:rFonts w:ascii="Arial" w:eastAsia="Times New Roman" w:hAnsi="Arial" w:cs="Arial"/>
      <w:sz w:val="24"/>
      <w:szCs w:val="24"/>
    </w:rPr>
  </w:style>
  <w:style w:type="character" w:customStyle="1" w:styleId="fontstyle01">
    <w:name w:val="fontstyle01"/>
    <w:basedOn w:val="Fuentedeprrafopredeter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A03FC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DC4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77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EBAA-C7EE-40E4-BB4E-B4DBE4E6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1287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ELISA MARISOL GOMEZ ARANDA</cp:lastModifiedBy>
  <cp:revision>2</cp:revision>
  <dcterms:created xsi:type="dcterms:W3CDTF">2023-06-21T05:20:00Z</dcterms:created>
  <dcterms:modified xsi:type="dcterms:W3CDTF">2023-06-21T05:20:00Z</dcterms:modified>
</cp:coreProperties>
</file>