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F162" w14:textId="5C4031F7" w:rsidR="0062120A" w:rsidRP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2120A">
        <w:rPr>
          <w:rFonts w:ascii="Times New Roman" w:hAnsi="Times New Roman" w:cs="Times New Roman"/>
          <w:b/>
        </w:rPr>
        <w:t>GOBIERNO DEL ESTADO DE COAHUILA DE ZARAGOZA</w:t>
      </w:r>
    </w:p>
    <w:p w14:paraId="72F893D5" w14:textId="41330D74" w:rsidR="0062120A" w:rsidRP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2120A">
        <w:rPr>
          <w:rFonts w:ascii="Times New Roman" w:hAnsi="Times New Roman" w:cs="Times New Roman"/>
          <w:b/>
        </w:rPr>
        <w:t xml:space="preserve">SECRETARIA DE EDUCACIÓN </w:t>
      </w:r>
    </w:p>
    <w:p w14:paraId="454C51D5" w14:textId="7D70B9B0" w:rsidR="0062120A" w:rsidRP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2120A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D413987" wp14:editId="6890A014">
            <wp:simplePos x="0" y="0"/>
            <wp:positionH relativeFrom="margin">
              <wp:align>center</wp:align>
            </wp:positionH>
            <wp:positionV relativeFrom="paragraph">
              <wp:posOffset>220116</wp:posOffset>
            </wp:positionV>
            <wp:extent cx="1419225" cy="1571946"/>
            <wp:effectExtent l="0" t="0" r="0" b="9525"/>
            <wp:wrapSquare wrapText="bothSides"/>
            <wp:docPr id="16" name="2 Imagen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19225" cy="1571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2120A">
        <w:rPr>
          <w:rFonts w:ascii="Times New Roman" w:hAnsi="Times New Roman" w:cs="Times New Roman"/>
          <w:b/>
        </w:rPr>
        <w:t xml:space="preserve">ESCUELA NORMAL DE EDUCACIÓN PREESCOLAR </w:t>
      </w:r>
    </w:p>
    <w:p w14:paraId="1BEC312C" w14:textId="55356BAD" w:rsidR="0062120A" w:rsidRPr="0062120A" w:rsidRDefault="0062120A" w:rsidP="0062120A">
      <w:pPr>
        <w:spacing w:after="0" w:line="360" w:lineRule="auto"/>
        <w:rPr>
          <w:rFonts w:ascii="Times New Roman" w:hAnsi="Times New Roman" w:cs="Times New Roman"/>
        </w:rPr>
      </w:pPr>
      <w:r w:rsidRPr="0062120A">
        <w:rPr>
          <w:rFonts w:ascii="Times New Roman" w:hAnsi="Times New Roman" w:cs="Times New Roman"/>
        </w:rPr>
        <w:br w:type="textWrapping" w:clear="all"/>
      </w:r>
    </w:p>
    <w:p w14:paraId="4F2721D3" w14:textId="77777777" w:rsidR="0062120A" w:rsidRP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2120A">
        <w:rPr>
          <w:rFonts w:ascii="Times New Roman" w:hAnsi="Times New Roman" w:cs="Times New Roman"/>
          <w:b/>
        </w:rPr>
        <w:t>TÍTULO DEL TRABAJO</w:t>
      </w:r>
    </w:p>
    <w:p w14:paraId="4AC385AE" w14:textId="246B6BF1" w:rsidR="0062120A" w:rsidRP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2120A">
        <w:rPr>
          <w:rFonts w:ascii="Times New Roman" w:hAnsi="Times New Roman" w:cs="Times New Roman"/>
          <w:b/>
        </w:rPr>
        <w:t>EVIDENCIA UNIDAD II. CUADRO COMPARATIVO</w:t>
      </w:r>
    </w:p>
    <w:p w14:paraId="77F77943" w14:textId="77777777" w:rsidR="0062120A" w:rsidRP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2120A">
        <w:rPr>
          <w:rFonts w:ascii="Times New Roman" w:hAnsi="Times New Roman" w:cs="Times New Roman"/>
          <w:b/>
        </w:rPr>
        <w:t>PRESENTADO POR:</w:t>
      </w:r>
    </w:p>
    <w:p w14:paraId="3F0193DB" w14:textId="0E85C6E6" w:rsidR="0062120A" w:rsidRP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2120A">
        <w:rPr>
          <w:rFonts w:ascii="Times New Roman" w:hAnsi="Times New Roman" w:cs="Times New Roman"/>
          <w:b/>
        </w:rPr>
        <w:t>FRIDA MARIANA ESCOBEDO LUNA</w:t>
      </w:r>
      <w:r w:rsidRPr="0062120A">
        <w:rPr>
          <w:rFonts w:ascii="Times New Roman" w:hAnsi="Times New Roman" w:cs="Times New Roman"/>
          <w:b/>
        </w:rPr>
        <w:t xml:space="preserve"> </w:t>
      </w:r>
    </w:p>
    <w:p w14:paraId="105FEA29" w14:textId="0F5A04F2" w:rsidR="0062120A" w:rsidRP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2120A">
        <w:rPr>
          <w:rFonts w:ascii="Times New Roman" w:hAnsi="Times New Roman" w:cs="Times New Roman"/>
          <w:b/>
          <w:bCs/>
        </w:rPr>
        <w:t>MAESTRO DEL CURSO:</w:t>
      </w:r>
    </w:p>
    <w:p w14:paraId="4AA6ED8D" w14:textId="77777777" w:rsidR="0062120A" w:rsidRP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2120A">
        <w:rPr>
          <w:rFonts w:ascii="Times New Roman" w:hAnsi="Times New Roman" w:cs="Times New Roman"/>
        </w:rPr>
        <w:t>MARÍA TERESA CERDA OROCIO</w:t>
      </w:r>
    </w:p>
    <w:p w14:paraId="41FC6CCC" w14:textId="77777777" w:rsid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2120A">
        <w:rPr>
          <w:rFonts w:ascii="Times New Roman" w:hAnsi="Times New Roman" w:cs="Times New Roman"/>
          <w:b/>
        </w:rPr>
        <w:t>COMPETENCIA PROFESIONAL</w:t>
      </w:r>
      <w:r w:rsidRPr="0062120A">
        <w:rPr>
          <w:rFonts w:ascii="Times New Roman" w:hAnsi="Times New Roman" w:cs="Times New Roman"/>
          <w:b/>
        </w:rPr>
        <w:t xml:space="preserve"> </w:t>
      </w:r>
    </w:p>
    <w:p w14:paraId="62A6EB5D" w14:textId="0B7C7E0D" w:rsidR="0062120A" w:rsidRP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2120A">
        <w:rPr>
          <w:rFonts w:ascii="Times New Roman" w:hAnsi="Times New Roman" w:cs="Times New Roman"/>
        </w:rPr>
        <w:t xml:space="preserve">VALORA Y APLICA LA INVESTIGACIÓN EDUCATIVA COMO PROCESO COMPLEJO, CONTINUO Y CRÍTICO QUE PERMITE RECONOCER LOS PROCESOS DE DESARROLLO Y APRENDIZAJE, ASÍ COMO LA REALIDAD SOCIOCULTURAL DE </w:t>
      </w:r>
      <w:proofErr w:type="gramStart"/>
      <w:r w:rsidRPr="0062120A">
        <w:rPr>
          <w:rFonts w:ascii="Times New Roman" w:hAnsi="Times New Roman" w:cs="Times New Roman"/>
        </w:rPr>
        <w:t>LAS NIÑAS Y LOS NIÑOS</w:t>
      </w:r>
      <w:proofErr w:type="gramEnd"/>
      <w:r w:rsidRPr="0062120A">
        <w:rPr>
          <w:rFonts w:ascii="Times New Roman" w:hAnsi="Times New Roman" w:cs="Times New Roman"/>
        </w:rPr>
        <w:t xml:space="preserve"> DE PREESCOLAR, PARA HACER UNA INTERVENCIÓN PERTINENTE EN SITUACIONES EDUCATIVAS DIVERSAS, Y APORTAR EXPERIENCIAS Y REFLEXIONES AL CAMPO DE LA EDUCACIÓN PREESCOLAR</w:t>
      </w:r>
    </w:p>
    <w:p w14:paraId="753C874D" w14:textId="77777777" w:rsidR="0062120A" w:rsidRPr="0062120A" w:rsidRDefault="0062120A" w:rsidP="006212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2120A">
        <w:rPr>
          <w:rFonts w:ascii="Times New Roman" w:hAnsi="Times New Roman" w:cs="Times New Roman"/>
          <w:b/>
        </w:rPr>
        <w:t>LICENCIATURA EN EDUCACIÓN PREESCOLAR</w:t>
      </w:r>
    </w:p>
    <w:p w14:paraId="0B29826D" w14:textId="316355AB" w:rsidR="0062120A" w:rsidRPr="0062120A" w:rsidRDefault="0062120A" w:rsidP="0062120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SALTILLO, COAHUILA DE ZARAGOZA                                                                                     JUNIO 2023</w:t>
      </w:r>
    </w:p>
    <w:p w14:paraId="53490FE2" w14:textId="45327577" w:rsidR="00C635E9" w:rsidRPr="0062120A" w:rsidRDefault="00EC0BFB" w:rsidP="0062120A">
      <w:pPr>
        <w:jc w:val="center"/>
        <w:rPr>
          <w:rFonts w:ascii="Times New Roman" w:hAnsi="Times New Roman" w:cs="Times New Roman"/>
          <w:b/>
          <w:bCs/>
        </w:rPr>
      </w:pPr>
      <w:r w:rsidRPr="0062120A">
        <w:rPr>
          <w:rFonts w:ascii="Times New Roman" w:hAnsi="Times New Roman" w:cs="Times New Roman"/>
          <w:b/>
          <w:bCs/>
        </w:rPr>
        <w:lastRenderedPageBreak/>
        <w:t>INTRODUCCIÓN</w:t>
      </w:r>
    </w:p>
    <w:p w14:paraId="016E09A0" w14:textId="1AC90647" w:rsidR="00EC0BFB" w:rsidRPr="00EC0BFB" w:rsidRDefault="00EC0BFB" w:rsidP="00EC0B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BFB">
        <w:rPr>
          <w:rFonts w:ascii="Times New Roman" w:hAnsi="Times New Roman" w:cs="Times New Roman"/>
          <w:sz w:val="24"/>
          <w:szCs w:val="24"/>
        </w:rPr>
        <w:t xml:space="preserve">En el siguiente cuadro comparativo se abordarán los aspectos </w:t>
      </w:r>
      <w:proofErr w:type="spellStart"/>
      <w:r w:rsidRPr="00EC0BFB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EC0BFB">
        <w:rPr>
          <w:rFonts w:ascii="Times New Roman" w:hAnsi="Times New Roman" w:cs="Times New Roman"/>
          <w:sz w:val="24"/>
          <w:szCs w:val="24"/>
        </w:rPr>
        <w:t xml:space="preserve"> importantes para comprender las diferentes escuelas o tradiciones educativas </w:t>
      </w:r>
      <w:proofErr w:type="gramStart"/>
      <w:r w:rsidRPr="00EC0BFB">
        <w:rPr>
          <w:rFonts w:ascii="Times New Roman" w:hAnsi="Times New Roman" w:cs="Times New Roman"/>
          <w:sz w:val="24"/>
          <w:szCs w:val="24"/>
        </w:rPr>
        <w:t>en relación a</w:t>
      </w:r>
      <w:proofErr w:type="gramEnd"/>
      <w:r w:rsidRPr="00EC0BFB">
        <w:rPr>
          <w:rFonts w:ascii="Times New Roman" w:hAnsi="Times New Roman" w:cs="Times New Roman"/>
          <w:sz w:val="24"/>
          <w:szCs w:val="24"/>
        </w:rPr>
        <w:t xml:space="preserve"> las matemáticas hablaremos sobre</w:t>
      </w:r>
      <w:r w:rsidRPr="00EC0BFB">
        <w:rPr>
          <w:rFonts w:ascii="Times New Roman" w:hAnsi="Times New Roman" w:cs="Times New Roman"/>
          <w:sz w:val="24"/>
          <w:szCs w:val="24"/>
        </w:rPr>
        <w:t xml:space="preserve"> La Escuela Francesa, la Escuela Latinoamericana, el programa de Aprendizajes Clave y la Nueva Escuela Mexicana son enfoques educativos que han influido en la enseñanza de las matemáticas en diferentes contextos.</w:t>
      </w:r>
    </w:p>
    <w:p w14:paraId="0DD182CD" w14:textId="77777777" w:rsidR="00EC0BFB" w:rsidRPr="00EC0BFB" w:rsidRDefault="00EC0BFB" w:rsidP="00EC0B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BFB">
        <w:rPr>
          <w:rFonts w:ascii="Times New Roman" w:hAnsi="Times New Roman" w:cs="Times New Roman"/>
          <w:sz w:val="24"/>
          <w:szCs w:val="24"/>
        </w:rPr>
        <w:t>La Escuela Francesa se caracteriza por su énfasis en la rigurosidad y la lógica matemática. Desde esta perspectiva, se busca desarrollar en los estudiantes habilidades de razonamiento deductivo, resolución de problemas y abstracción matemática. La Escuela Francesa ha destacado históricamente por su enfoque en la geometría y el álgebra, así como por su énfasis en el rigor y la precisión.</w:t>
      </w:r>
      <w:r w:rsidRPr="00EC0B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B6F0F" w14:textId="1F8D6111" w:rsidR="00EC0BFB" w:rsidRPr="00EC0BFB" w:rsidRDefault="00EC0BFB" w:rsidP="00EC0B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BFB">
        <w:rPr>
          <w:rFonts w:ascii="Times New Roman" w:hAnsi="Times New Roman" w:cs="Times New Roman"/>
          <w:sz w:val="24"/>
          <w:szCs w:val="24"/>
        </w:rPr>
        <w:t>Por otro lado, la Escuela Latinoamericana ha buscado promover una enseñanza más contextualizada y socialmente relevante de las matemáticas. En esta perspectiva, se valora el uso de situaciones cotidianas y problemas concretos para que los estudiantes puedan aplicar las matemáticas a su entorno y comprender su utilidad en la vida real. Se fomenta el trabajo colaborativo y la construcción colectiva del conocimiento.</w:t>
      </w:r>
    </w:p>
    <w:p w14:paraId="203248D3" w14:textId="4DF94AD7" w:rsidR="00EC0BFB" w:rsidRPr="00EC0BFB" w:rsidRDefault="00EC0BFB" w:rsidP="00EC0B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BFB">
        <w:rPr>
          <w:rFonts w:ascii="Times New Roman" w:hAnsi="Times New Roman" w:cs="Times New Roman"/>
          <w:sz w:val="24"/>
          <w:szCs w:val="24"/>
        </w:rPr>
        <w:t>En México, el programa de Aprendizajes Clave es una propuesta curricular que busca orientar la enseñanza de las matemáticas y otras asignaturas. Este programa tiene como objetivo desarrollar competencias matemáticas en los estudiantes.</w:t>
      </w:r>
    </w:p>
    <w:p w14:paraId="44208212" w14:textId="77777777" w:rsidR="00EC0BFB" w:rsidRDefault="00EC0BFB" w:rsidP="00EC0B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BFB">
        <w:rPr>
          <w:rFonts w:ascii="Times New Roman" w:hAnsi="Times New Roman" w:cs="Times New Roman"/>
          <w:sz w:val="24"/>
          <w:szCs w:val="24"/>
        </w:rPr>
        <w:t xml:space="preserve">La Nueva Escuela Mexicana es una reforma educativa que busca transformar el sistema educativo en México. </w:t>
      </w:r>
      <w:proofErr w:type="gramStart"/>
      <w:r w:rsidRPr="00EC0BFB">
        <w:rPr>
          <w:rFonts w:ascii="Times New Roman" w:hAnsi="Times New Roman" w:cs="Times New Roman"/>
          <w:sz w:val="24"/>
          <w:szCs w:val="24"/>
        </w:rPr>
        <w:t>En relación a</w:t>
      </w:r>
      <w:proofErr w:type="gramEnd"/>
      <w:r w:rsidRPr="00EC0BFB">
        <w:rPr>
          <w:rFonts w:ascii="Times New Roman" w:hAnsi="Times New Roman" w:cs="Times New Roman"/>
          <w:sz w:val="24"/>
          <w:szCs w:val="24"/>
        </w:rPr>
        <w:t xml:space="preserve"> las matemáticas, se promueve un enfoque más integral, que trascienda la mera memorización y promueva la comprensión profunda de los conceptos. Se busca desarrollar en los estudiantes habilidades matemáticas que les permitan enfrentar problemas de la vida real, fomentando el pensamiento crítico y el trabajo colaborativo.</w:t>
      </w:r>
    </w:p>
    <w:p w14:paraId="5B632FDA" w14:textId="77777777" w:rsidR="00EC0BFB" w:rsidRDefault="00EC0BFB" w:rsidP="00EC0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8BE36" w14:textId="77777777" w:rsidR="00EC0BFB" w:rsidRDefault="00EC0BFB" w:rsidP="00EC0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6355D" w14:textId="77777777" w:rsidR="00EC0BFB" w:rsidRDefault="00EC0BFB" w:rsidP="00EC0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28AC4" w14:textId="77777777" w:rsidR="00EC0BFB" w:rsidRDefault="00EC0BFB" w:rsidP="00EC0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979D8" w14:textId="77777777" w:rsidR="0062120A" w:rsidRDefault="0062120A" w:rsidP="00EC0BF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horzAnchor="margin" w:tblpY="-1321"/>
        <w:tblW w:w="0" w:type="auto"/>
        <w:tblLook w:val="04A0" w:firstRow="1" w:lastRow="0" w:firstColumn="1" w:lastColumn="0" w:noHBand="0" w:noVBand="1"/>
      </w:tblPr>
      <w:tblGrid>
        <w:gridCol w:w="1257"/>
        <w:gridCol w:w="2775"/>
        <w:gridCol w:w="2905"/>
        <w:gridCol w:w="2797"/>
        <w:gridCol w:w="3262"/>
      </w:tblGrid>
      <w:tr w:rsidR="00EC0BFB" w:rsidRPr="00EC0BFB" w14:paraId="1FDEB5C8" w14:textId="77777777" w:rsidTr="00EC0BFB">
        <w:trPr>
          <w:trHeight w:val="280"/>
        </w:trPr>
        <w:tc>
          <w:tcPr>
            <w:tcW w:w="1129" w:type="dxa"/>
          </w:tcPr>
          <w:p w14:paraId="414938B7" w14:textId="77777777" w:rsidR="00EC0BFB" w:rsidRPr="00EC0BFB" w:rsidRDefault="00EC0BFB" w:rsidP="00EC0B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</w:tcPr>
          <w:p w14:paraId="311194CE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Escuela Francesa</w:t>
            </w:r>
          </w:p>
        </w:tc>
        <w:tc>
          <w:tcPr>
            <w:tcW w:w="2828" w:type="dxa"/>
          </w:tcPr>
          <w:p w14:paraId="0A8671E4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Escuela Latinoamericana</w:t>
            </w:r>
          </w:p>
        </w:tc>
        <w:tc>
          <w:tcPr>
            <w:tcW w:w="2709" w:type="dxa"/>
          </w:tcPr>
          <w:p w14:paraId="62CBDD24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Aprendizajes Clave</w:t>
            </w:r>
          </w:p>
        </w:tc>
        <w:tc>
          <w:tcPr>
            <w:tcW w:w="3158" w:type="dxa"/>
          </w:tcPr>
          <w:p w14:paraId="41EF9973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Nueva Escuela Mexicana</w:t>
            </w:r>
          </w:p>
        </w:tc>
      </w:tr>
      <w:tr w:rsidR="00EC0BFB" w:rsidRPr="00EC0BFB" w14:paraId="7AFA93E8" w14:textId="77777777" w:rsidTr="00EC0BFB">
        <w:trPr>
          <w:trHeight w:val="1403"/>
        </w:trPr>
        <w:tc>
          <w:tcPr>
            <w:tcW w:w="1129" w:type="dxa"/>
          </w:tcPr>
          <w:p w14:paraId="3DF08DCD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Enfoque</w:t>
            </w:r>
          </w:p>
        </w:tc>
        <w:tc>
          <w:tcPr>
            <w:tcW w:w="3172" w:type="dxa"/>
          </w:tcPr>
          <w:p w14:paraId="507CCAA3" w14:textId="77777777" w:rsidR="00EC0BFB" w:rsidRPr="00EC0BFB" w:rsidRDefault="00EC0BFB" w:rsidP="00EC0BF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Dominio de conceptos fundamentales y la resolución de problemas aplicados.</w:t>
            </w:r>
          </w:p>
        </w:tc>
        <w:tc>
          <w:tcPr>
            <w:tcW w:w="2828" w:type="dxa"/>
          </w:tcPr>
          <w:p w14:paraId="5E76AEE6" w14:textId="77777777" w:rsidR="00EC0BFB" w:rsidRPr="00EC0BFB" w:rsidRDefault="00EC0BFB" w:rsidP="00EC0BF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Resolución de problemas relevantes para su entorno cultural y social</w:t>
            </w:r>
          </w:p>
          <w:p w14:paraId="0A2085AD" w14:textId="77777777" w:rsidR="00EC0BFB" w:rsidRPr="00EC0BFB" w:rsidRDefault="00EC0BFB" w:rsidP="00EC0BF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Promueve el pensamiento crítico</w:t>
            </w:r>
          </w:p>
        </w:tc>
        <w:tc>
          <w:tcPr>
            <w:tcW w:w="2709" w:type="dxa"/>
          </w:tcPr>
          <w:p w14:paraId="1CB4E257" w14:textId="77777777" w:rsidR="00EC0BFB" w:rsidRPr="00EC0BFB" w:rsidRDefault="00EC0BFB" w:rsidP="00EC0BF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Habilidades como el razonamiento matemático, la resolución de problemas</w:t>
            </w:r>
          </w:p>
        </w:tc>
        <w:tc>
          <w:tcPr>
            <w:tcW w:w="3158" w:type="dxa"/>
          </w:tcPr>
          <w:p w14:paraId="625BE8B0" w14:textId="77777777" w:rsidR="00EC0BFB" w:rsidRPr="00EC0BFB" w:rsidRDefault="00EC0BFB" w:rsidP="00EC0BF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Competencias y valores.</w:t>
            </w:r>
          </w:p>
        </w:tc>
      </w:tr>
      <w:tr w:rsidR="00EC0BFB" w:rsidRPr="00EC0BFB" w14:paraId="2A7CC88F" w14:textId="77777777" w:rsidTr="00EC0BFB">
        <w:tc>
          <w:tcPr>
            <w:tcW w:w="1129" w:type="dxa"/>
          </w:tcPr>
          <w:p w14:paraId="7A0921AA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Metodología</w:t>
            </w:r>
          </w:p>
        </w:tc>
        <w:tc>
          <w:tcPr>
            <w:tcW w:w="3172" w:type="dxa"/>
          </w:tcPr>
          <w:p w14:paraId="4B5D76A9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El razonamiento lógico y la resolución de problemas.</w:t>
            </w:r>
          </w:p>
          <w:p w14:paraId="5B9E0DA1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Abstracción matemática y la comprensión profunda de los conceptos.</w:t>
            </w:r>
          </w:p>
        </w:tc>
        <w:tc>
          <w:tcPr>
            <w:tcW w:w="2828" w:type="dxa"/>
          </w:tcPr>
          <w:p w14:paraId="597DCA54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Perspectiva contextualizada y relevante para la vida cotidiana de los estudiantes.</w:t>
            </w:r>
          </w:p>
          <w:p w14:paraId="49C7E77C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Desarrollar habilidades matemáticas aplicables a situaciones reales</w:t>
            </w:r>
          </w:p>
        </w:tc>
        <w:tc>
          <w:tcPr>
            <w:tcW w:w="2709" w:type="dxa"/>
          </w:tcPr>
          <w:p w14:paraId="15085A43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Proporciona una estructura curricular que incluye contenidos, habilidades y actitudes matemáticas a desarrollar.</w:t>
            </w:r>
          </w:p>
        </w:tc>
        <w:tc>
          <w:tcPr>
            <w:tcW w:w="3158" w:type="dxa"/>
          </w:tcPr>
          <w:p w14:paraId="7C7B8A7D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Desarrollo de habilidades socioemocionales, como la colaboración, la comunicación y la resolución pacífica de conflictos</w:t>
            </w:r>
          </w:p>
        </w:tc>
      </w:tr>
      <w:tr w:rsidR="00EC0BFB" w:rsidRPr="00EC0BFB" w14:paraId="75702915" w14:textId="77777777" w:rsidTr="0062120A">
        <w:trPr>
          <w:trHeight w:val="1415"/>
        </w:trPr>
        <w:tc>
          <w:tcPr>
            <w:tcW w:w="1129" w:type="dxa"/>
          </w:tcPr>
          <w:p w14:paraId="1026E633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Objetivos</w:t>
            </w:r>
          </w:p>
        </w:tc>
        <w:tc>
          <w:tcPr>
            <w:tcW w:w="3172" w:type="dxa"/>
          </w:tcPr>
          <w:p w14:paraId="3F59FA9C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Promover el razonamiento lógico y la capacidad de abstracción a través de las matemáticas.</w:t>
            </w:r>
          </w:p>
          <w:p w14:paraId="79F00278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Desarrollar habilidades numéricas y geométricas desde temprana edad.</w:t>
            </w:r>
          </w:p>
          <w:p w14:paraId="079BA098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Fomentar la resolución de problemas matemáticos </w:t>
            </w: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y el pensamiento crítico.</w:t>
            </w:r>
          </w:p>
          <w:p w14:paraId="786CA961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7BAAD6FC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Proporcionar una educación matemática contextualizada y relevante para la realidad latinoamericana.</w:t>
            </w:r>
          </w:p>
          <w:p w14:paraId="64067F59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Desarrollar habilidades matemáticas básicas, como operaciones numéricas y resolución de problemas, aplicadas a </w:t>
            </w: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situaciones cotidianas.</w:t>
            </w:r>
          </w:p>
          <w:p w14:paraId="685078A2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</w:tcPr>
          <w:p w14:paraId="7230CFFE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Establecer metas y competencias fundamentales en matemáticas para cada nivel educativo.</w:t>
            </w:r>
          </w:p>
          <w:p w14:paraId="55A827C0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Desarrollar habilidades matemáticas que permitan comprender, analizar y resolver problemas de la vida </w:t>
            </w: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cotidiana y de otras disciplinas.</w:t>
            </w:r>
          </w:p>
          <w:p w14:paraId="2F09E0EB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</w:tcPr>
          <w:p w14:paraId="29066DFD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Fortalecer la comprensión de conceptos y procedimientos matemáticos desde una perspectiva constructivista.</w:t>
            </w:r>
          </w:p>
          <w:p w14:paraId="76B65BD9" w14:textId="77777777" w:rsidR="00EC0BFB" w:rsidRPr="00EC0BFB" w:rsidRDefault="00EC0BFB" w:rsidP="00EC0B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Fomentar el pensamiento lógico, el razonamiento matemático y la resolución de problemas.</w:t>
            </w:r>
          </w:p>
          <w:p w14:paraId="4CEE84F9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BFB" w:rsidRPr="00EC0BFB" w14:paraId="44603CBE" w14:textId="77777777" w:rsidTr="00EC0BFB">
        <w:tc>
          <w:tcPr>
            <w:tcW w:w="1129" w:type="dxa"/>
          </w:tcPr>
          <w:p w14:paraId="6AE508A8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3172" w:type="dxa"/>
          </w:tcPr>
          <w:p w14:paraId="6F8A02F3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Pone énfasis en la resolución de problemas, el razonamiento lógico y el desarrollo del pensamiento abstracto. Promueve el uso de métodos deductivos y la construcción progresiva de conocimientos matemáticos.</w:t>
            </w:r>
          </w:p>
        </w:tc>
        <w:tc>
          <w:tcPr>
            <w:tcW w:w="2828" w:type="dxa"/>
          </w:tcPr>
          <w:p w14:paraId="1CA0101A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Busca promover una enseñanza contextualizada y significativa. Se enfoca en la resolución de problemas de la vida real, fomentando la comprensión y aplicación de conceptos matemáticos en situaciones cotidianas. Busca desarrollar habilidades de pensamiento crítico y el trabajo colaborativo.</w:t>
            </w:r>
          </w:p>
        </w:tc>
        <w:tc>
          <w:tcPr>
            <w:tcW w:w="2709" w:type="dxa"/>
          </w:tcPr>
          <w:p w14:paraId="4396779B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Busca asegurar una formación integral de los estudiantes. En matemáticas, se enfoca en desarrollar competencias matemáticas básicas, como el cálculo, la resolución de problemas y la interpretación de información numérica.</w:t>
            </w:r>
          </w:p>
        </w:tc>
        <w:tc>
          <w:tcPr>
            <w:tcW w:w="3158" w:type="dxa"/>
          </w:tcPr>
          <w:p w14:paraId="7E775E0E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 xml:space="preserve">Enfoque centrado en el estudiante, que promueve la </w:t>
            </w:r>
            <w:proofErr w:type="gramStart"/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participación activa</w:t>
            </w:r>
            <w:proofErr w:type="gramEnd"/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, el pensamiento crítico y la resolución de problemas contextualizados.</w:t>
            </w:r>
          </w:p>
        </w:tc>
      </w:tr>
      <w:tr w:rsidR="00EC0BFB" w:rsidRPr="00EC0BFB" w14:paraId="55C1D3DE" w14:textId="77777777" w:rsidTr="00EC0BFB">
        <w:tc>
          <w:tcPr>
            <w:tcW w:w="1129" w:type="dxa"/>
          </w:tcPr>
          <w:p w14:paraId="3B071007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Evaluación</w:t>
            </w:r>
          </w:p>
        </w:tc>
        <w:tc>
          <w:tcPr>
            <w:tcW w:w="3172" w:type="dxa"/>
          </w:tcPr>
          <w:p w14:paraId="18FEAF91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Pruebas de conocimiento (exámenes)</w:t>
            </w:r>
          </w:p>
        </w:tc>
        <w:tc>
          <w:tcPr>
            <w:tcW w:w="2828" w:type="dxa"/>
          </w:tcPr>
          <w:p w14:paraId="7DA20B0A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Observaciones y registro de aprendizaje</w:t>
            </w:r>
          </w:p>
        </w:tc>
        <w:tc>
          <w:tcPr>
            <w:tcW w:w="2709" w:type="dxa"/>
          </w:tcPr>
          <w:p w14:paraId="4C8E75C5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Evaluación formativa y sumativa</w:t>
            </w:r>
          </w:p>
        </w:tc>
        <w:tc>
          <w:tcPr>
            <w:tcW w:w="3158" w:type="dxa"/>
          </w:tcPr>
          <w:p w14:paraId="1048D937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 xml:space="preserve">Evaluación formativa por competencias </w:t>
            </w:r>
          </w:p>
        </w:tc>
      </w:tr>
      <w:tr w:rsidR="00EC0BFB" w:rsidRPr="00EC0BFB" w14:paraId="6349D551" w14:textId="77777777" w:rsidTr="00EC0BFB">
        <w:tc>
          <w:tcPr>
            <w:tcW w:w="1129" w:type="dxa"/>
          </w:tcPr>
          <w:p w14:paraId="07E9D108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3172" w:type="dxa"/>
          </w:tcPr>
          <w:p w14:paraId="3004CA2B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Libros de texto y materiales didácticos que siguen una progresión lógica y sistemática.</w:t>
            </w:r>
          </w:p>
        </w:tc>
        <w:tc>
          <w:tcPr>
            <w:tcW w:w="2828" w:type="dxa"/>
          </w:tcPr>
          <w:p w14:paraId="42CC982E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Material manipulativo, juegos interactivos y software educativo que buscan fortalecer el razonamiento matemático y las habilidades de pensamiento</w:t>
            </w:r>
          </w:p>
        </w:tc>
        <w:tc>
          <w:tcPr>
            <w:tcW w:w="2709" w:type="dxa"/>
          </w:tcPr>
          <w:p w14:paraId="3DF6FE45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 xml:space="preserve">Materiales didácticos que sean inclusivos, significativos y promuevan la </w:t>
            </w:r>
            <w:proofErr w:type="gramStart"/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participación activa</w:t>
            </w:r>
            <w:proofErr w:type="gramEnd"/>
            <w:r w:rsidRPr="0062120A">
              <w:rPr>
                <w:rFonts w:ascii="Times New Roman" w:hAnsi="Times New Roman" w:cs="Times New Roman"/>
                <w:sz w:val="20"/>
                <w:szCs w:val="20"/>
              </w:rPr>
              <w:t xml:space="preserve"> de los estudiantes.</w:t>
            </w:r>
          </w:p>
        </w:tc>
        <w:tc>
          <w:tcPr>
            <w:tcW w:w="3158" w:type="dxa"/>
          </w:tcPr>
          <w:p w14:paraId="47856393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Libros de texto actualizados, recursos digitales interactivos, aplicaciones móviles y plataformas en línea que permitan el aprendizaje personalizado y colaborativo.</w:t>
            </w:r>
          </w:p>
        </w:tc>
      </w:tr>
      <w:tr w:rsidR="00EC0BFB" w:rsidRPr="00EC0BFB" w14:paraId="5DC84046" w14:textId="77777777" w:rsidTr="00EC0BFB">
        <w:tc>
          <w:tcPr>
            <w:tcW w:w="1129" w:type="dxa"/>
          </w:tcPr>
          <w:p w14:paraId="2289793E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 Docente</w:t>
            </w:r>
          </w:p>
        </w:tc>
        <w:tc>
          <w:tcPr>
            <w:tcW w:w="3172" w:type="dxa"/>
          </w:tcPr>
          <w:p w14:paraId="0EFCF9D2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Transmitir el conocimiento</w:t>
            </w:r>
          </w:p>
        </w:tc>
        <w:tc>
          <w:tcPr>
            <w:tcW w:w="2828" w:type="dxa"/>
          </w:tcPr>
          <w:p w14:paraId="1A08ACE8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 xml:space="preserve">Facilitar el aprendizaje </w:t>
            </w:r>
          </w:p>
        </w:tc>
        <w:tc>
          <w:tcPr>
            <w:tcW w:w="2709" w:type="dxa"/>
          </w:tcPr>
          <w:p w14:paraId="59DDFBEC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>Guía y facilitador de aprendizaje</w:t>
            </w:r>
          </w:p>
        </w:tc>
        <w:tc>
          <w:tcPr>
            <w:tcW w:w="3158" w:type="dxa"/>
          </w:tcPr>
          <w:p w14:paraId="34167D0E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</w:rPr>
              <w:t xml:space="preserve">Facilitador y mediador de aprendizaje </w:t>
            </w:r>
          </w:p>
        </w:tc>
      </w:tr>
      <w:tr w:rsidR="00EC0BFB" w:rsidRPr="00EC0BFB" w14:paraId="544C9978" w14:textId="77777777" w:rsidTr="00EC0BFB">
        <w:tc>
          <w:tcPr>
            <w:tcW w:w="1129" w:type="dxa"/>
          </w:tcPr>
          <w:p w14:paraId="6656B47D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Enfoque Inclusivo</w:t>
            </w:r>
          </w:p>
        </w:tc>
        <w:tc>
          <w:tcPr>
            <w:tcW w:w="3172" w:type="dxa"/>
          </w:tcPr>
          <w:p w14:paraId="2757114E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 xml:space="preserve">Garantizar que todos los estudiantes tengan acceso a una </w:t>
            </w:r>
            <w:r w:rsidRPr="0062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educación matemática de calidad, independientemente de su origen socioeconómico o habilidades previas.</w:t>
            </w:r>
          </w:p>
        </w:tc>
        <w:tc>
          <w:tcPr>
            <w:tcW w:w="2828" w:type="dxa"/>
          </w:tcPr>
          <w:p w14:paraId="523F9468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Reconocer y valorar la diversidad cultural, </w:t>
            </w:r>
            <w:r w:rsidRPr="0062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social y cognitiva de los estudiantes.</w:t>
            </w:r>
          </w:p>
        </w:tc>
        <w:tc>
          <w:tcPr>
            <w:tcW w:w="2709" w:type="dxa"/>
          </w:tcPr>
          <w:p w14:paraId="6C2D4706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Fomentar la </w:t>
            </w:r>
            <w:proofErr w:type="gramStart"/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participación activa</w:t>
            </w:r>
            <w:proofErr w:type="gramEnd"/>
            <w:r w:rsidRPr="0062120A">
              <w:rPr>
                <w:rFonts w:ascii="Times New Roman" w:hAnsi="Times New Roman" w:cs="Times New Roman"/>
                <w:sz w:val="20"/>
                <w:szCs w:val="20"/>
              </w:rPr>
              <w:t xml:space="preserve"> de todos los estudiantes y </w:t>
            </w:r>
            <w:r w:rsidRPr="0062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atender las necesidades educativas especiales.</w:t>
            </w:r>
          </w:p>
        </w:tc>
        <w:tc>
          <w:tcPr>
            <w:tcW w:w="3158" w:type="dxa"/>
          </w:tcPr>
          <w:p w14:paraId="200AAAF1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Busca brindar apoyo y adaptaciones curriculares para garantizar la </w:t>
            </w:r>
            <w:r w:rsidRPr="0062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participación de todos los estudiantes, incluyendo aquellos con discapacidades o dificultades de aprendizaje.</w:t>
            </w:r>
          </w:p>
        </w:tc>
      </w:tr>
      <w:tr w:rsidR="00EC0BFB" w:rsidRPr="00EC0BFB" w14:paraId="4AEE54DD" w14:textId="77777777" w:rsidTr="00EC0BFB">
        <w:tc>
          <w:tcPr>
            <w:tcW w:w="1129" w:type="dxa"/>
          </w:tcPr>
          <w:p w14:paraId="19A87A18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Enfoque Pedagógico</w:t>
            </w:r>
          </w:p>
        </w:tc>
        <w:tc>
          <w:tcPr>
            <w:tcW w:w="3172" w:type="dxa"/>
          </w:tcPr>
          <w:p w14:paraId="6F60BAF7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Se enfoca en el desarrollo progresivo de habilidades y el dominio de conceptos fundamentales.</w:t>
            </w:r>
          </w:p>
        </w:tc>
        <w:tc>
          <w:tcPr>
            <w:tcW w:w="2828" w:type="dxa"/>
          </w:tcPr>
          <w:p w14:paraId="6CF1842C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Se busca desarrollar el pensamiento crítico y la resolución de problemas contextualizados en la vida cotidiana de los estudiantes.</w:t>
            </w:r>
          </w:p>
        </w:tc>
        <w:tc>
          <w:tcPr>
            <w:tcW w:w="2709" w:type="dxa"/>
          </w:tcPr>
          <w:p w14:paraId="0868824D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Se busca fomentar el razonamiento lógico, el pensamiento crítico y la resolución de problemas, aplicándolos a situaciones reales. También se promueve el uso de herramientas tecnológicas como apoyo al aprendizaje matemático.</w:t>
            </w:r>
          </w:p>
        </w:tc>
        <w:tc>
          <w:tcPr>
            <w:tcW w:w="3158" w:type="dxa"/>
          </w:tcPr>
          <w:p w14:paraId="2C5B7042" w14:textId="77777777" w:rsidR="00EC0BFB" w:rsidRPr="0062120A" w:rsidRDefault="00EC0BFB" w:rsidP="0062120A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0A">
              <w:rPr>
                <w:rFonts w:ascii="Times New Roman" w:hAnsi="Times New Roman" w:cs="Times New Roman"/>
                <w:sz w:val="20"/>
                <w:szCs w:val="20"/>
              </w:rPr>
              <w:t>Busca una formación integral de los estudiantes. En matemáticas, se busca desarrollar habilidades de pensamiento lógico y numérico.</w:t>
            </w:r>
          </w:p>
        </w:tc>
      </w:tr>
      <w:tr w:rsidR="00EC0BFB" w:rsidRPr="00EC0BFB" w14:paraId="5A0EBADB" w14:textId="77777777" w:rsidTr="00EC0BFB">
        <w:tc>
          <w:tcPr>
            <w:tcW w:w="1129" w:type="dxa"/>
          </w:tcPr>
          <w:p w14:paraId="343A87AA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Ventajas</w:t>
            </w:r>
          </w:p>
        </w:tc>
        <w:tc>
          <w:tcPr>
            <w:tcW w:w="3172" w:type="dxa"/>
          </w:tcPr>
          <w:p w14:paraId="44735561" w14:textId="77777777" w:rsidR="00EC0BFB" w:rsidRPr="00EC0BFB" w:rsidRDefault="00EC0BFB" w:rsidP="00EC0BFB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Enfoque riguroso y estructurado en la enseñanza de las matemáticas.</w:t>
            </w:r>
          </w:p>
          <w:p w14:paraId="179F552A" w14:textId="77777777" w:rsidR="00EC0BFB" w:rsidRPr="00EC0BFB" w:rsidRDefault="00EC0BFB" w:rsidP="00EC0BFB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Énfasis en el desarrollo del razonamiento lógico y la resolución de problemas.</w:t>
            </w:r>
          </w:p>
          <w:p w14:paraId="5692E773" w14:textId="77777777" w:rsidR="00EC0BFB" w:rsidRPr="00EC0BFB" w:rsidRDefault="00EC0BFB" w:rsidP="00EC0BFB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Uso de métodos deductivos y de abstracción para comprender </w:t>
            </w: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conceptos matemáticos.</w:t>
            </w:r>
          </w:p>
          <w:p w14:paraId="5CC613A6" w14:textId="77777777" w:rsidR="00EC0BFB" w:rsidRPr="00EC0BFB" w:rsidRDefault="00EC0BFB" w:rsidP="00EC0BFB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Enfoque en la enseñanza de algoritmos y técnicas de cálculo.</w:t>
            </w:r>
          </w:p>
          <w:p w14:paraId="35EC9E39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517EBF28" w14:textId="77777777" w:rsidR="00EC0BFB" w:rsidRPr="00EC0BFB" w:rsidRDefault="00EC0BFB" w:rsidP="00EC0BFB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Enfoque contextualizado de las matemáticas, relacionándolas con la vida cotidiana y los contextos culturales de los estudiantes.</w:t>
            </w:r>
          </w:p>
          <w:p w14:paraId="06784231" w14:textId="77777777" w:rsidR="00EC0BFB" w:rsidRPr="00EC0BFB" w:rsidRDefault="00EC0BFB" w:rsidP="00EC0BFB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Énfasis en la resolución de problemas prácticos y situaciones reales que fomenten la comprensión y aplicación de </w:t>
            </w: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los conceptos matemáticos.</w:t>
            </w:r>
          </w:p>
          <w:p w14:paraId="4E90116A" w14:textId="77777777" w:rsidR="00EC0BFB" w:rsidRPr="00EC0BFB" w:rsidRDefault="00EC0BFB" w:rsidP="00EC0BFB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Valoración de la diversidad de estrategias de resolución de problemas y enfoques para llegar a soluciones matemáticas.</w:t>
            </w:r>
          </w:p>
          <w:p w14:paraId="07F8F185" w14:textId="77777777" w:rsidR="00EC0BFB" w:rsidRPr="00EC0BFB" w:rsidRDefault="00EC0BFB" w:rsidP="00EC0BFB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Promoción de la </w:t>
            </w:r>
            <w:proofErr w:type="gramStart"/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participación activa</w:t>
            </w:r>
            <w:proofErr w:type="gramEnd"/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y el trabajo colaborativo entre los estudiantes.</w:t>
            </w:r>
          </w:p>
          <w:p w14:paraId="74561EE8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</w:tcPr>
          <w:p w14:paraId="26EC8ED6" w14:textId="77777777" w:rsidR="00EC0BFB" w:rsidRPr="00EC0BFB" w:rsidRDefault="00EC0BFB" w:rsidP="00EC0BFB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Orientación hacia la adquisición de competencias matemáticas fundamentales, como el razonamiento lógico, la resolución de problemas y el pensamiento crítico.</w:t>
            </w:r>
          </w:p>
          <w:p w14:paraId="5C307897" w14:textId="77777777" w:rsidR="00EC0BFB" w:rsidRPr="006F05F1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6F05F1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Enfoque en la utilización de métodos didácticos variados </w:t>
            </w:r>
            <w:r w:rsidRPr="006F05F1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para adaptarse a las necesidades y estilos de aprendizaje de los estudiantes.</w:t>
            </w:r>
          </w:p>
          <w:p w14:paraId="4A8F1252" w14:textId="77777777" w:rsidR="00EC0BFB" w:rsidRPr="00EC0BFB" w:rsidRDefault="00EC0BFB" w:rsidP="00EC0BFB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Promoción del uso de las matemáticas como herramienta para la comprensión y análisis del entorno social y natural.</w:t>
            </w:r>
          </w:p>
          <w:p w14:paraId="6DBEA8FB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</w:tcPr>
          <w:p w14:paraId="4665932E" w14:textId="77777777" w:rsidR="00EC0BFB" w:rsidRPr="00EC0BFB" w:rsidRDefault="00EC0BFB" w:rsidP="00EC0BFB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Integración de las matemáticas con otras áreas del conocimiento, fomentando la interdisciplinariedad.</w:t>
            </w:r>
          </w:p>
          <w:p w14:paraId="41CC1810" w14:textId="77777777" w:rsidR="00EC0BFB" w:rsidRPr="00EC0BFB" w:rsidRDefault="00EC0BFB" w:rsidP="00EC0BFB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Inclusión de metodologías activas y participativas que promuevan la exploración, el descubrimiento y el pensamiento crítico.</w:t>
            </w:r>
          </w:p>
          <w:p w14:paraId="4DC3FB2C" w14:textId="77777777" w:rsidR="00EC0BFB" w:rsidRPr="00EC0BFB" w:rsidRDefault="00EC0BFB" w:rsidP="00EC0BFB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Uso de recursos tecnológicos y digitales para apoyar la enseñanza </w:t>
            </w: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y el aprendizaje de las matemáticas.</w:t>
            </w:r>
          </w:p>
          <w:p w14:paraId="7287AD42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BFB" w:rsidRPr="00EC0BFB" w14:paraId="49DBE268" w14:textId="77777777" w:rsidTr="00EC0BFB">
        <w:tc>
          <w:tcPr>
            <w:tcW w:w="1129" w:type="dxa"/>
          </w:tcPr>
          <w:p w14:paraId="02234365" w14:textId="77777777" w:rsidR="00EC0BFB" w:rsidRPr="00EC0BFB" w:rsidRDefault="00EC0BFB" w:rsidP="00EC0BF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Desventajas</w:t>
            </w:r>
          </w:p>
        </w:tc>
        <w:tc>
          <w:tcPr>
            <w:tcW w:w="3172" w:type="dxa"/>
          </w:tcPr>
          <w:p w14:paraId="1DDD3962" w14:textId="77777777" w:rsidR="00EC0BFB" w:rsidRPr="00EC0BFB" w:rsidRDefault="00EC0BFB" w:rsidP="00EC0BF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Enfoque rígido y basado en la memorización, </w:t>
            </w:r>
          </w:p>
          <w:p w14:paraId="4AEF2737" w14:textId="77777777" w:rsidR="00EC0BFB" w:rsidRPr="00EC0BFB" w:rsidRDefault="00EC0BFB" w:rsidP="00EC0BF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Poca </w:t>
            </w:r>
            <w:proofErr w:type="gramStart"/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participación activa</w:t>
            </w:r>
            <w:proofErr w:type="gramEnd"/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de los estudiantes en el proceso de aprendizaje matemático</w:t>
            </w:r>
          </w:p>
        </w:tc>
        <w:tc>
          <w:tcPr>
            <w:tcW w:w="2828" w:type="dxa"/>
          </w:tcPr>
          <w:p w14:paraId="53C045D1" w14:textId="77777777" w:rsidR="00EC0BFB" w:rsidRPr="00EC0BFB" w:rsidRDefault="00EC0BFB" w:rsidP="00EC0BF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Insuficiente énfasis en el razonamiento lógico y la resolución de problemas matemáticos.</w:t>
            </w:r>
          </w:p>
          <w:p w14:paraId="12433ECA" w14:textId="77777777" w:rsidR="00EC0BFB" w:rsidRPr="00EC0BFB" w:rsidRDefault="00EC0BFB" w:rsidP="00EC0BF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Falta de recursos y materiales didácticos adecuados para el aprendizaje de las matemáticas</w:t>
            </w:r>
          </w:p>
        </w:tc>
        <w:tc>
          <w:tcPr>
            <w:tcW w:w="2709" w:type="dxa"/>
          </w:tcPr>
          <w:p w14:paraId="38CC9962" w14:textId="77777777" w:rsidR="00EC0BFB" w:rsidRPr="00EC0BFB" w:rsidRDefault="00EC0BFB" w:rsidP="00EC0BF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Enfoque fragmentado y excesiva carga curricular, </w:t>
            </w:r>
          </w:p>
          <w:p w14:paraId="1C2521D1" w14:textId="77777777" w:rsidR="00EC0BFB" w:rsidRPr="00EC0BFB" w:rsidRDefault="00EC0BFB" w:rsidP="00EC0BF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Falta de flexibilidad en los métodos de enseñanza.</w:t>
            </w:r>
          </w:p>
          <w:p w14:paraId="578F00E7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</w:tcPr>
          <w:p w14:paraId="24227DAE" w14:textId="77777777" w:rsidR="00EC0BFB" w:rsidRPr="00EC0BFB" w:rsidRDefault="00EC0BFB" w:rsidP="00EC0BF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Implementación y adaptación aún en proceso</w:t>
            </w:r>
          </w:p>
          <w:p w14:paraId="5A3C34EE" w14:textId="77777777" w:rsidR="00EC0BFB" w:rsidRPr="00EC0BFB" w:rsidRDefault="00EC0BFB" w:rsidP="00EC0BF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EC0BF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Posibles desafíos en la formación y actualización de los docentes en cuanto a los nuevos enfoques y metodologías para la enseñanza de las matemáticas.</w:t>
            </w:r>
          </w:p>
          <w:p w14:paraId="52C77B8E" w14:textId="77777777" w:rsidR="00EC0BFB" w:rsidRPr="00EC0BFB" w:rsidRDefault="00EC0BFB" w:rsidP="00EC0BFB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A6434E" w14:textId="77777777" w:rsidR="00EC0BFB" w:rsidRPr="00EC0BFB" w:rsidRDefault="00EC0BFB" w:rsidP="00EC0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C23B0" w14:textId="7013CE23" w:rsidR="00EC0BFB" w:rsidRPr="0062120A" w:rsidRDefault="0062120A" w:rsidP="00EC0BFB">
      <w:pPr>
        <w:rPr>
          <w:rFonts w:ascii="Times New Roman" w:hAnsi="Times New Roman" w:cs="Times New Roman"/>
          <w:b/>
          <w:bCs/>
        </w:rPr>
      </w:pPr>
      <w:r w:rsidRPr="0062120A">
        <w:rPr>
          <w:rFonts w:ascii="Times New Roman" w:hAnsi="Times New Roman" w:cs="Times New Roman"/>
          <w:b/>
          <w:bCs/>
        </w:rPr>
        <w:lastRenderedPageBreak/>
        <w:t>CONCLUSIÓN</w:t>
      </w:r>
    </w:p>
    <w:p w14:paraId="74CD0287" w14:textId="6F8888B2" w:rsidR="0062120A" w:rsidRPr="0062120A" w:rsidRDefault="0062120A" w:rsidP="0062120A">
      <w:pPr>
        <w:jc w:val="both"/>
        <w:rPr>
          <w:rFonts w:ascii="Times New Roman" w:hAnsi="Times New Roman" w:cs="Times New Roman"/>
        </w:rPr>
      </w:pPr>
      <w:r w:rsidRPr="0062120A">
        <w:rPr>
          <w:rFonts w:ascii="Times New Roman" w:hAnsi="Times New Roman" w:cs="Times New Roman"/>
        </w:rPr>
        <w:t>En resumen, la Escuela Francesa se enfoca en la rigurosidad y la lógica matemática, la Escuela Latinoamericana promueve una enseñanza contextualizada y relevante, el programa de Aprendizajes Clave busca desarrollar competencias matemáticas en los estudiantes y la Nueva Escuela Mexicana busca una transformación integral de la enseñanza de las matemáticas, fomentando la comprensión y el uso práctico de los conceptos. Cada enfoque tiene su propio énfasis, pero todos buscan mejorar la enseñanza y el aprendizaje de las matemáticas en sus respectivos contextos educativos.</w:t>
      </w:r>
    </w:p>
    <w:p w14:paraId="31806265" w14:textId="2BC60299" w:rsidR="0062120A" w:rsidRPr="0062120A" w:rsidRDefault="0062120A" w:rsidP="0062120A">
      <w:pPr>
        <w:jc w:val="both"/>
        <w:rPr>
          <w:rFonts w:ascii="Times New Roman" w:hAnsi="Times New Roman" w:cs="Times New Roman"/>
        </w:rPr>
      </w:pPr>
      <w:r w:rsidRPr="0062120A">
        <w:rPr>
          <w:rFonts w:ascii="Times New Roman" w:hAnsi="Times New Roman" w:cs="Times New Roman"/>
        </w:rPr>
        <w:t xml:space="preserve">Este trabajo nos ha sido muy útil para, tras su análisis, saber </w:t>
      </w:r>
      <w:proofErr w:type="spellStart"/>
      <w:r w:rsidRPr="0062120A">
        <w:rPr>
          <w:rFonts w:ascii="Times New Roman" w:hAnsi="Times New Roman" w:cs="Times New Roman"/>
        </w:rPr>
        <w:t>como</w:t>
      </w:r>
      <w:proofErr w:type="spellEnd"/>
      <w:r w:rsidRPr="0062120A">
        <w:rPr>
          <w:rFonts w:ascii="Times New Roman" w:hAnsi="Times New Roman" w:cs="Times New Roman"/>
        </w:rPr>
        <w:t xml:space="preserve"> influyen las diferentes escuelas en el desarrollo y aprendizaje de los niños, desde los diferentes enfoques, los materiales que se utilizan, la variedad de contenidos y objetivos. Durante esta unidad se ha logrado el aprendizaje de estas corrientes para poder identificar como futuros docentes la importancia y posibles aplicaciones, así como las ventajas y desventajas para lograr adaptarnos.</w:t>
      </w:r>
    </w:p>
    <w:p w14:paraId="4C3598CE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472368D4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31ECDFE7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795A510C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02AA074B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579E1FF5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0440ECFC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0CBF0BBE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55D2F528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2AF6D2A2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18D7CC6A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36026D95" w14:textId="3538C791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471631E4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37D6BA02" w14:textId="7A5A106D" w:rsidR="0062120A" w:rsidRPr="0062120A" w:rsidRDefault="0062120A" w:rsidP="0062120A">
      <w:pPr>
        <w:jc w:val="both"/>
        <w:rPr>
          <w:rFonts w:ascii="Times New Roman" w:hAnsi="Times New Roman" w:cs="Times New Roman"/>
          <w:b/>
          <w:bCs/>
          <w:color w:val="374151"/>
          <w:shd w:val="clear" w:color="auto" w:fill="F7F7F8"/>
        </w:rPr>
      </w:pPr>
      <w:r w:rsidRPr="0062120A">
        <w:rPr>
          <w:rFonts w:ascii="Times New Roman" w:hAnsi="Times New Roman" w:cs="Times New Roman"/>
          <w:b/>
          <w:bCs/>
          <w:color w:val="374151"/>
          <w:shd w:val="clear" w:color="auto" w:fill="F7F7F8"/>
        </w:rPr>
        <w:lastRenderedPageBreak/>
        <w:t>REFERENCIAS</w:t>
      </w:r>
    </w:p>
    <w:p w14:paraId="362C5AF9" w14:textId="77777777" w:rsidR="0062120A" w:rsidRPr="00AE78DA" w:rsidRDefault="0062120A" w:rsidP="0062120A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E78DA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</w:rPr>
        <w:fldChar w:fldCharType="begin"/>
      </w:r>
      <w:r w:rsidRPr="00AE78DA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</w:rPr>
        <w:instrText xml:space="preserve"> BIBLIOGRAPHY  \l 2058 </w:instrText>
      </w:r>
      <w:r w:rsidRPr="00AE78DA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</w:rPr>
        <w:fldChar w:fldCharType="separate"/>
      </w:r>
      <w:r w:rsidRPr="00AE78DA">
        <w:rPr>
          <w:rStyle w:val="Refdecomentario"/>
        </w:rPr>
        <w:t xml:space="preserve"> </w:t>
      </w:r>
      <w:r w:rsidRPr="00AE78DA">
        <w:rPr>
          <w:rFonts w:ascii="Times New Roman" w:hAnsi="Times New Roman" w:cs="Times New Roman"/>
          <w:color w:val="000000"/>
          <w:sz w:val="24"/>
          <w:szCs w:val="24"/>
        </w:rPr>
        <w:t xml:space="preserve">Hernández-Sampieri, R., Fernández-Collado, C. y Baptista-Lucio, P. (2010). </w:t>
      </w:r>
      <w:r w:rsidRPr="00AE78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Metodología de la</w:t>
      </w:r>
      <w:r w:rsidRPr="00AE78DA">
        <w:rPr>
          <w:i/>
          <w:iCs/>
          <w:color w:val="000000"/>
        </w:rPr>
        <w:br/>
      </w:r>
      <w:r w:rsidRPr="00AE78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Investigación. </w:t>
      </w:r>
      <w:r w:rsidRPr="00AE78DA">
        <w:rPr>
          <w:rFonts w:ascii="Times New Roman" w:hAnsi="Times New Roman" w:cs="Times New Roman"/>
          <w:color w:val="000000"/>
          <w:sz w:val="24"/>
          <w:szCs w:val="24"/>
        </w:rPr>
        <w:t>(5ª Ed,), México: McGraw-Hill Interamericana Editores</w:t>
      </w:r>
    </w:p>
    <w:p w14:paraId="5EAACBBC" w14:textId="77777777" w:rsidR="0062120A" w:rsidRPr="00AE78DA" w:rsidRDefault="0062120A" w:rsidP="0062120A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E78DA">
        <w:rPr>
          <w:rFonts w:ascii="Times New Roman" w:hAnsi="Times New Roman" w:cs="Times New Roman"/>
          <w:color w:val="000000"/>
          <w:sz w:val="24"/>
          <w:szCs w:val="24"/>
        </w:rPr>
        <w:t>Rojas, D. A. (2021). La Evaluación Formativa en la Educación Preescolar. [Tesis para obtener el grado de licenciatura]. ENEP</w:t>
      </w:r>
    </w:p>
    <w:p w14:paraId="4A2986FC" w14:textId="5956DDDC" w:rsidR="0062120A" w:rsidRDefault="0062120A" w:rsidP="0062120A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</w:rPr>
      </w:pPr>
      <w:r w:rsidRPr="00AE78DA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</w:rPr>
        <w:fldChar w:fldCharType="end"/>
      </w:r>
    </w:p>
    <w:p w14:paraId="3C6FF0D5" w14:textId="1E77EEF9" w:rsidR="0062120A" w:rsidRDefault="0062120A" w:rsidP="0062120A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</w:rPr>
        <w:t>RÚBRICA</w:t>
      </w:r>
    </w:p>
    <w:tbl>
      <w:tblPr>
        <w:tblStyle w:val="Tablaconcuadrcula"/>
        <w:tblW w:w="5352" w:type="pct"/>
        <w:tblLayout w:type="fixed"/>
        <w:tblLook w:val="04A0" w:firstRow="1" w:lastRow="0" w:firstColumn="1" w:lastColumn="0" w:noHBand="0" w:noVBand="1"/>
      </w:tblPr>
      <w:tblGrid>
        <w:gridCol w:w="2351"/>
        <w:gridCol w:w="2871"/>
        <w:gridCol w:w="2451"/>
        <w:gridCol w:w="1377"/>
        <w:gridCol w:w="1169"/>
        <w:gridCol w:w="1185"/>
        <w:gridCol w:w="1185"/>
        <w:gridCol w:w="1322"/>
      </w:tblGrid>
      <w:tr w:rsidR="0062120A" w:rsidRPr="008B6A98" w14:paraId="16B7648D" w14:textId="77777777" w:rsidTr="004C0460">
        <w:trPr>
          <w:trHeight w:val="2511"/>
        </w:trPr>
        <w:tc>
          <w:tcPr>
            <w:tcW w:w="1877" w:type="pct"/>
            <w:gridSpan w:val="2"/>
          </w:tcPr>
          <w:p w14:paraId="349FBC92" w14:textId="77777777" w:rsidR="0062120A" w:rsidRPr="000C7DD7" w:rsidRDefault="0062120A" w:rsidP="004C0460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0C7DD7">
              <w:rPr>
                <w:rFonts w:ascii="Times New Roman" w:eastAsia="Times New Roman" w:hAnsi="Times New Roman" w:cs="Times New Roman"/>
                <w:b/>
              </w:rPr>
              <w:t xml:space="preserve">Competencia: </w:t>
            </w:r>
            <w:r w:rsidRPr="000C7DD7">
              <w:rPr>
                <w:rFonts w:ascii="Times New Roman" w:hAnsi="Times New Roman" w:cs="Times New Roman"/>
              </w:rPr>
              <w:t xml:space="preserve">Valora y aplica la investigación educativa como proceso complejo, continuo y crítico que permite reconocer los procesos de desarrollo y aprendizaje, así como la realidad sociocultural de </w:t>
            </w:r>
            <w:proofErr w:type="gramStart"/>
            <w:r w:rsidRPr="000C7DD7">
              <w:rPr>
                <w:rFonts w:ascii="Times New Roman" w:hAnsi="Times New Roman" w:cs="Times New Roman"/>
              </w:rPr>
              <w:t>las niñas y los niños</w:t>
            </w:r>
            <w:proofErr w:type="gramEnd"/>
            <w:r w:rsidRPr="000C7DD7">
              <w:rPr>
                <w:rFonts w:ascii="Times New Roman" w:hAnsi="Times New Roman" w:cs="Times New Roman"/>
              </w:rPr>
              <w:t xml:space="preserve"> de preescolar, para hacer una intervención pertinente en situaciones educativas diversas, y aportar experiencias y reflexiones al campo de la educación preescolar.</w:t>
            </w:r>
          </w:p>
        </w:tc>
        <w:tc>
          <w:tcPr>
            <w:tcW w:w="3123" w:type="pct"/>
            <w:gridSpan w:val="6"/>
          </w:tcPr>
          <w:p w14:paraId="6F11EE4D" w14:textId="77777777" w:rsidR="0062120A" w:rsidRDefault="0062120A" w:rsidP="004C04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 xml:space="preserve">Planteamiento del problema: </w:t>
            </w:r>
            <w:r w:rsidRPr="00FE4DF9">
              <w:rPr>
                <w:rFonts w:ascii="Times New Roman" w:hAnsi="Times New Roman" w:cs="Times New Roman"/>
                <w:sz w:val="28"/>
                <w:szCs w:val="28"/>
              </w:rPr>
              <w:t>Realiza un cuadro comparativo, que permit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E4DF9">
              <w:rPr>
                <w:rFonts w:ascii="Times New Roman" w:hAnsi="Times New Roman" w:cs="Times New Roman"/>
                <w:sz w:val="28"/>
                <w:szCs w:val="28"/>
              </w:rPr>
              <w:t xml:space="preserve"> contrastar la evolución de la didáctica de la matemática desde la escuela francesa, la latinoamericana, hasta la propuesta de la construcción social del conocimiento matemático; considerando variables de columnas en las que se lea la información en forma vertical y se establezca la comparación entre los elementos de las columnas</w:t>
            </w:r>
          </w:p>
          <w:p w14:paraId="1DEFE1D5" w14:textId="77777777" w:rsidR="0062120A" w:rsidRPr="008B6A98" w:rsidRDefault="0062120A" w:rsidP="004C0460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120A" w:rsidRPr="008B6A98" w14:paraId="49518EB0" w14:textId="77777777" w:rsidTr="004C0460">
        <w:trPr>
          <w:trHeight w:val="877"/>
        </w:trPr>
        <w:tc>
          <w:tcPr>
            <w:tcW w:w="845" w:type="pct"/>
          </w:tcPr>
          <w:p w14:paraId="1499233B" w14:textId="77777777" w:rsidR="0062120A" w:rsidRPr="000C7DD7" w:rsidRDefault="0062120A" w:rsidP="004C0460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DD7">
              <w:rPr>
                <w:rFonts w:ascii="Times New Roman" w:eastAsia="Times New Roman" w:hAnsi="Times New Roman" w:cs="Times New Roman"/>
                <w:b/>
                <w:bCs/>
              </w:rPr>
              <w:t>Elementos para evaluar</w:t>
            </w:r>
          </w:p>
        </w:tc>
        <w:tc>
          <w:tcPr>
            <w:tcW w:w="1913" w:type="pct"/>
            <w:gridSpan w:val="2"/>
          </w:tcPr>
          <w:p w14:paraId="51E95624" w14:textId="77777777" w:rsidR="0062120A" w:rsidRPr="000C7DD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DD7">
              <w:rPr>
                <w:rFonts w:ascii="Times New Roman" w:eastAsia="Times New Roman" w:hAnsi="Times New Roman" w:cs="Times New Roman"/>
                <w:b/>
              </w:rPr>
              <w:t>Criterios de evaluación</w:t>
            </w:r>
          </w:p>
        </w:tc>
        <w:tc>
          <w:tcPr>
            <w:tcW w:w="495" w:type="pct"/>
            <w:vAlign w:val="center"/>
          </w:tcPr>
          <w:p w14:paraId="7F9A7665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14:paraId="63BD004B" w14:textId="77777777" w:rsidR="0062120A" w:rsidRPr="008B6A98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Suficiente</w:t>
            </w:r>
          </w:p>
        </w:tc>
        <w:tc>
          <w:tcPr>
            <w:tcW w:w="420" w:type="pct"/>
            <w:vAlign w:val="center"/>
          </w:tcPr>
          <w:p w14:paraId="64C123F9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14:paraId="608DE26B" w14:textId="77777777" w:rsidR="0062120A" w:rsidRPr="008B6A98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Regular</w:t>
            </w:r>
          </w:p>
        </w:tc>
        <w:tc>
          <w:tcPr>
            <w:tcW w:w="426" w:type="pct"/>
            <w:vAlign w:val="center"/>
          </w:tcPr>
          <w:p w14:paraId="3E341057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14:paraId="6E63C1E7" w14:textId="77777777" w:rsidR="0062120A" w:rsidRPr="008B6A98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Bien</w:t>
            </w:r>
          </w:p>
        </w:tc>
        <w:tc>
          <w:tcPr>
            <w:tcW w:w="426" w:type="pct"/>
            <w:vAlign w:val="center"/>
          </w:tcPr>
          <w:p w14:paraId="0412B521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14:paraId="5CBB705A" w14:textId="77777777" w:rsidR="0062120A" w:rsidRPr="00061AB4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Muybien</w:t>
            </w:r>
            <w:proofErr w:type="spellEnd"/>
          </w:p>
        </w:tc>
        <w:tc>
          <w:tcPr>
            <w:tcW w:w="474" w:type="pct"/>
            <w:vAlign w:val="center"/>
          </w:tcPr>
          <w:p w14:paraId="1DD223D5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14:paraId="21B574E1" w14:textId="77777777" w:rsidR="0062120A" w:rsidRPr="008B6A98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Excelente</w:t>
            </w:r>
          </w:p>
        </w:tc>
      </w:tr>
      <w:tr w:rsidR="0062120A" w:rsidRPr="008B6A98" w14:paraId="192406DC" w14:textId="77777777" w:rsidTr="004C0460">
        <w:trPr>
          <w:trHeight w:val="877"/>
        </w:trPr>
        <w:tc>
          <w:tcPr>
            <w:tcW w:w="845" w:type="pct"/>
          </w:tcPr>
          <w:p w14:paraId="58DBE38E" w14:textId="77777777" w:rsidR="0062120A" w:rsidRPr="000C7DD7" w:rsidRDefault="0062120A" w:rsidP="004C0460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 xml:space="preserve">El trabajo cumple con todos los elementos que debe incluirse en </w:t>
            </w:r>
            <w:r>
              <w:rPr>
                <w:rFonts w:ascii="Times New Roman" w:eastAsia="Times New Roman" w:hAnsi="Times New Roman" w:cs="Times New Roman"/>
              </w:rPr>
              <w:t>un escrito</w:t>
            </w:r>
          </w:p>
        </w:tc>
        <w:tc>
          <w:tcPr>
            <w:tcW w:w="1913" w:type="pct"/>
            <w:gridSpan w:val="2"/>
            <w:vAlign w:val="center"/>
          </w:tcPr>
          <w:p w14:paraId="06B5B4D4" w14:textId="77777777" w:rsidR="0062120A" w:rsidRPr="000C7DD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DD7">
              <w:rPr>
                <w:rFonts w:ascii="Times New Roman" w:eastAsia="Times New Roman" w:hAnsi="Times New Roman" w:cs="Times New Roman"/>
                <w:bCs/>
              </w:rPr>
              <w:t>Contiene la estructura completa sin omitir componentes</w:t>
            </w:r>
          </w:p>
          <w:p w14:paraId="03E6CE42" w14:textId="77777777" w:rsidR="0062120A" w:rsidRPr="000C7DD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5" w:type="pct"/>
            <w:vAlign w:val="center"/>
          </w:tcPr>
          <w:p w14:paraId="48837804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76A01A93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77287388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65E52B9B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23C6B53F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2120A" w:rsidRPr="008B6A98" w14:paraId="11AEBB9F" w14:textId="77777777" w:rsidTr="004C0460">
        <w:trPr>
          <w:trHeight w:val="877"/>
        </w:trPr>
        <w:tc>
          <w:tcPr>
            <w:tcW w:w="845" w:type="pct"/>
          </w:tcPr>
          <w:p w14:paraId="1627D8A7" w14:textId="77777777" w:rsidR="0062120A" w:rsidRPr="000C7DD7" w:rsidRDefault="0062120A" w:rsidP="004C0460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Objetivo y problemática</w:t>
            </w:r>
          </w:p>
        </w:tc>
        <w:tc>
          <w:tcPr>
            <w:tcW w:w="1913" w:type="pct"/>
            <w:gridSpan w:val="2"/>
            <w:vAlign w:val="center"/>
          </w:tcPr>
          <w:p w14:paraId="11AF3106" w14:textId="77777777" w:rsidR="0062120A" w:rsidRPr="000C7DD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DD7">
              <w:rPr>
                <w:rFonts w:ascii="Times New Roman" w:hAnsi="Times New Roman" w:cs="Times New Roman"/>
              </w:rPr>
              <w:t>La introducción presenta de manera clara y precisa el objetivo del texto, el problema que se aborda o el punto de partida del documento, así como la descripción de</w:t>
            </w:r>
            <w:r>
              <w:rPr>
                <w:rFonts w:ascii="Times New Roman" w:hAnsi="Times New Roman" w:cs="Times New Roman"/>
              </w:rPr>
              <w:t>l contenido del documento.</w:t>
            </w:r>
          </w:p>
        </w:tc>
        <w:tc>
          <w:tcPr>
            <w:tcW w:w="495" w:type="pct"/>
            <w:vAlign w:val="center"/>
          </w:tcPr>
          <w:p w14:paraId="08F8690F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3CE30891" w14:textId="77777777" w:rsidR="0062120A" w:rsidRPr="008B6A98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pct"/>
            <w:vAlign w:val="center"/>
          </w:tcPr>
          <w:p w14:paraId="6CCC6B47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793C835E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2188A1AA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120A" w:rsidRPr="008B6A98" w14:paraId="6AD54DBB" w14:textId="77777777" w:rsidTr="004C0460">
        <w:trPr>
          <w:trHeight w:val="877"/>
        </w:trPr>
        <w:tc>
          <w:tcPr>
            <w:tcW w:w="845" w:type="pct"/>
          </w:tcPr>
          <w:p w14:paraId="77607376" w14:textId="77777777" w:rsidR="0062120A" w:rsidRPr="000C7DD7" w:rsidRDefault="0062120A" w:rsidP="004C0460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lastRenderedPageBreak/>
              <w:t>Contenido</w:t>
            </w:r>
          </w:p>
        </w:tc>
        <w:tc>
          <w:tcPr>
            <w:tcW w:w="1913" w:type="pct"/>
            <w:gridSpan w:val="2"/>
            <w:vAlign w:val="center"/>
          </w:tcPr>
          <w:p w14:paraId="4A3A789E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el impacto de la Escuela Francesa; teoría de situaciones didácticas en la enseñanza de las matemáticas </w:t>
            </w:r>
          </w:p>
          <w:p w14:paraId="40321DE4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la relación entre la Teoría de campos conceptuales y la Transposición didáctica </w:t>
            </w:r>
          </w:p>
          <w:p w14:paraId="5DB17B29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Explica en qué consiste la matemática como problema de comunicación </w:t>
            </w:r>
          </w:p>
          <w:p w14:paraId="7CCEAABC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los límites, relaciones y diferencias entre la matemática crítica la educación matemática realista </w:t>
            </w:r>
          </w:p>
          <w:p w14:paraId="1F78DC25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Explica en qué consiste la didáctica de las matemáticas </w:t>
            </w:r>
          </w:p>
          <w:p w14:paraId="7AA23601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las diferencias entre: didáctica, educación matemática, o/y matemática educativa </w:t>
            </w:r>
          </w:p>
          <w:p w14:paraId="3BFEB7E7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Caracteriza los obstáculos epistemológicos, ontogenéticos y didácticos que inciden en el proceso de enseñanza y aprendizaje y limitan el desarrollo del pensamiento matemático en el alumnado de preescolar. </w:t>
            </w:r>
          </w:p>
          <w:p w14:paraId="35E1F65B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Presenta la evolución del estudio de las teorías didácticas de la matemática educativa; con la finalidad de contar con marcos explicativos en torno a la didáctica</w:t>
            </w:r>
          </w:p>
          <w:p w14:paraId="38B4C7F1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Está estructurado por columnas y filas con su etiqueta que represente una idea o concepto principal.</w:t>
            </w:r>
          </w:p>
          <w:p w14:paraId="0A673BF3" w14:textId="77777777" w:rsidR="0062120A" w:rsidRPr="000C7DD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Incluye celdas o huecos (slots), donde se vacían, distintos tipos de información (hechos, conceptos, principios, observaciones, descripciones, explicaciones, procesos o procedimientos, e incluso ilustraciones de diverso tipo</w:t>
            </w:r>
          </w:p>
        </w:tc>
        <w:tc>
          <w:tcPr>
            <w:tcW w:w="495" w:type="pct"/>
            <w:vAlign w:val="center"/>
          </w:tcPr>
          <w:p w14:paraId="3573931F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2DDFEECB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02D8B61F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4ECF649B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055361A3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20A" w:rsidRPr="008B6A98" w14:paraId="6944BEB8" w14:textId="77777777" w:rsidTr="004C0460">
        <w:trPr>
          <w:trHeight w:val="877"/>
        </w:trPr>
        <w:tc>
          <w:tcPr>
            <w:tcW w:w="845" w:type="pct"/>
          </w:tcPr>
          <w:p w14:paraId="1413DC86" w14:textId="77777777" w:rsidR="0062120A" w:rsidRPr="000C7DD7" w:rsidRDefault="0062120A" w:rsidP="004C0460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lastRenderedPageBreak/>
              <w:t>Colaboración y trabajo en equipo</w:t>
            </w:r>
          </w:p>
        </w:tc>
        <w:tc>
          <w:tcPr>
            <w:tcW w:w="1913" w:type="pct"/>
            <w:gridSpan w:val="2"/>
          </w:tcPr>
          <w:p w14:paraId="58FFAF35" w14:textId="77777777" w:rsidR="0062120A" w:rsidRPr="000C7DD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Trabaja en equipo, logrando debatir ideas y/o posturas del artículo. </w:t>
            </w:r>
          </w:p>
          <w:p w14:paraId="63F17CBD" w14:textId="77777777" w:rsidR="0062120A" w:rsidRPr="000C7DD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Respeta las ideas de sus colegas </w:t>
            </w:r>
          </w:p>
          <w:p w14:paraId="424B3B7F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Reflexiona sobre su papel docente en la construcción del pensamiento matemático en preescolar.  </w:t>
            </w:r>
          </w:p>
          <w:p w14:paraId="5B3652FF" w14:textId="77777777" w:rsidR="0062120A" w:rsidRPr="001B361C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Cuida el aprendizaje de las matemáticas con enfoque incluyente</w:t>
            </w:r>
          </w:p>
        </w:tc>
        <w:tc>
          <w:tcPr>
            <w:tcW w:w="495" w:type="pct"/>
            <w:vAlign w:val="center"/>
          </w:tcPr>
          <w:p w14:paraId="4E1AF500" w14:textId="77777777" w:rsidR="0062120A" w:rsidRPr="00070357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7B35DE35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5C9A95F5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3177B7D7" w14:textId="77777777" w:rsidR="0062120A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58D472CB" w14:textId="77777777" w:rsidR="0062120A" w:rsidRPr="00061AB4" w:rsidRDefault="0062120A" w:rsidP="004C046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9E5E97" w14:textId="77777777" w:rsidR="0062120A" w:rsidRDefault="0062120A" w:rsidP="0062120A">
      <w:pPr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531440EB" w14:textId="77777777" w:rsidR="0062120A" w:rsidRPr="0062120A" w:rsidRDefault="0062120A" w:rsidP="0062120A">
      <w:pPr>
        <w:jc w:val="both"/>
        <w:rPr>
          <w:rFonts w:ascii="Times New Roman" w:hAnsi="Times New Roman" w:cs="Times New Roman"/>
        </w:rPr>
      </w:pPr>
    </w:p>
    <w:p w14:paraId="22C33C06" w14:textId="77777777" w:rsidR="00EC0BFB" w:rsidRPr="0062120A" w:rsidRDefault="00EC0BFB" w:rsidP="0062120A">
      <w:pPr>
        <w:jc w:val="both"/>
        <w:rPr>
          <w:rFonts w:ascii="Times New Roman" w:hAnsi="Times New Roman" w:cs="Times New Roman"/>
        </w:rPr>
      </w:pPr>
    </w:p>
    <w:sectPr w:rsidR="00EC0BFB" w:rsidRPr="0062120A" w:rsidSect="00EC0B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EDC"/>
    <w:multiLevelType w:val="hybridMultilevel"/>
    <w:tmpl w:val="0614A67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E54B6"/>
    <w:multiLevelType w:val="multilevel"/>
    <w:tmpl w:val="4860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A0458"/>
    <w:multiLevelType w:val="hybridMultilevel"/>
    <w:tmpl w:val="514059A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8B10E1"/>
    <w:multiLevelType w:val="hybridMultilevel"/>
    <w:tmpl w:val="2D7EB04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A95B67"/>
    <w:multiLevelType w:val="hybridMultilevel"/>
    <w:tmpl w:val="38EE796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F755AE"/>
    <w:multiLevelType w:val="hybridMultilevel"/>
    <w:tmpl w:val="70E2263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C93CBF"/>
    <w:multiLevelType w:val="hybridMultilevel"/>
    <w:tmpl w:val="BF98D28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15637E"/>
    <w:multiLevelType w:val="hybridMultilevel"/>
    <w:tmpl w:val="BAA6F18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3B6F70"/>
    <w:multiLevelType w:val="hybridMultilevel"/>
    <w:tmpl w:val="933CDB7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D44219"/>
    <w:multiLevelType w:val="hybridMultilevel"/>
    <w:tmpl w:val="C460313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961181"/>
    <w:multiLevelType w:val="hybridMultilevel"/>
    <w:tmpl w:val="3106F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502963">
    <w:abstractNumId w:val="1"/>
  </w:num>
  <w:num w:numId="2" w16cid:durableId="1917977316">
    <w:abstractNumId w:val="10"/>
  </w:num>
  <w:num w:numId="3" w16cid:durableId="608633185">
    <w:abstractNumId w:val="2"/>
  </w:num>
  <w:num w:numId="4" w16cid:durableId="468784355">
    <w:abstractNumId w:val="6"/>
  </w:num>
  <w:num w:numId="5" w16cid:durableId="116799435">
    <w:abstractNumId w:val="8"/>
  </w:num>
  <w:num w:numId="6" w16cid:durableId="407965888">
    <w:abstractNumId w:val="3"/>
  </w:num>
  <w:num w:numId="7" w16cid:durableId="1304625720">
    <w:abstractNumId w:val="0"/>
  </w:num>
  <w:num w:numId="8" w16cid:durableId="1564103172">
    <w:abstractNumId w:val="7"/>
  </w:num>
  <w:num w:numId="9" w16cid:durableId="823157120">
    <w:abstractNumId w:val="9"/>
  </w:num>
  <w:num w:numId="10" w16cid:durableId="1105419695">
    <w:abstractNumId w:val="5"/>
  </w:num>
  <w:num w:numId="11" w16cid:durableId="1382943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FB"/>
    <w:rsid w:val="0062120A"/>
    <w:rsid w:val="00C635E9"/>
    <w:rsid w:val="00E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3147"/>
  <w15:chartTrackingRefBased/>
  <w15:docId w15:val="{ACAEA226-CFF9-412B-B2C4-5299914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EC0BFB"/>
    <w:pPr>
      <w:spacing w:after="0" w:line="240" w:lineRule="auto"/>
      <w:ind w:firstLine="709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0BFB"/>
    <w:pPr>
      <w:spacing w:after="480" w:line="480" w:lineRule="auto"/>
      <w:ind w:left="720" w:firstLine="709"/>
      <w:contextualSpacing/>
    </w:pPr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212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2104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MARIANA ESCOBEDO LUNA</dc:creator>
  <cp:keywords/>
  <dc:description/>
  <cp:lastModifiedBy>FRIDA MARIANA ESCOBEDO LUNA</cp:lastModifiedBy>
  <cp:revision>1</cp:revision>
  <dcterms:created xsi:type="dcterms:W3CDTF">2023-06-20T01:08:00Z</dcterms:created>
  <dcterms:modified xsi:type="dcterms:W3CDTF">2023-06-20T01:29:00Z</dcterms:modified>
</cp:coreProperties>
</file>