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1167C" w:rsidP="0071167C" w:rsidRDefault="00F94B2F" w14:paraId="69ED8CCE" w14:textId="1F057561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es-MX"/>
        </w:rPr>
        <w:drawing>
          <wp:anchor distT="0" distB="0" distL="114300" distR="114300" simplePos="0" relativeHeight="251658240" behindDoc="0" locked="0" layoutInCell="1" allowOverlap="1" wp14:anchorId="6A667185" wp14:editId="6A732D79">
            <wp:simplePos x="0" y="0"/>
            <wp:positionH relativeFrom="column">
              <wp:posOffset>227965</wp:posOffset>
            </wp:positionH>
            <wp:positionV relativeFrom="paragraph">
              <wp:posOffset>6598</wp:posOffset>
            </wp:positionV>
            <wp:extent cx="719455" cy="969700"/>
            <wp:effectExtent l="0" t="0" r="444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24" cy="9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625">
        <w:rPr>
          <w:rFonts w:cstheme="minorHAnsi"/>
          <w:b/>
          <w:sz w:val="28"/>
          <w:szCs w:val="21"/>
          <w:lang w:val="es-ES"/>
        </w:rPr>
        <w:t xml:space="preserve">    </w:t>
      </w:r>
    </w:p>
    <w:p w:rsidRPr="00F94B2F" w:rsidR="0071167C" w:rsidP="0071167C" w:rsidRDefault="0071167C" w14:paraId="593FA888" w14:textId="77777777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sz w:val="24"/>
          <w:szCs w:val="24"/>
          <w:lang w:val="es-MX"/>
        </w:rPr>
        <w:t>Escuela Normal de Educación Preescolar del Estado de Coahuila.</w:t>
      </w:r>
    </w:p>
    <w:p w:rsidRPr="00F94B2F" w:rsidR="0071167C" w:rsidP="00F94B2F" w:rsidRDefault="0071167C" w14:paraId="4E7A9EBB" w14:textId="31A45A5B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sz w:val="24"/>
          <w:szCs w:val="24"/>
          <w:lang w:val="es-MX"/>
        </w:rPr>
        <w:t>Licenciatura en Educación Preescolar.</w:t>
      </w:r>
      <w:r w:rsidRPr="00F94B2F" w:rsidR="00F94B2F">
        <w:rPr>
          <w:rFonts w:ascii="Times New Roman" w:hAnsi="Times New Roman" w:cs="Times New Roman"/>
          <w:sz w:val="24"/>
          <w:szCs w:val="24"/>
          <w:lang w:val="es-MX"/>
        </w:rPr>
        <w:t xml:space="preserve"> Ciclo Escolar 2022-2023</w:t>
      </w:r>
    </w:p>
    <w:p w:rsidRPr="00F94B2F" w:rsidR="0071167C" w:rsidP="0071167C" w:rsidRDefault="0071167C" w14:paraId="512850DC" w14:textId="77777777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sz w:val="24"/>
          <w:szCs w:val="24"/>
          <w:lang w:val="es-MX"/>
        </w:rPr>
        <w:t>Cuarto Semestre Sección “B”</w:t>
      </w:r>
    </w:p>
    <w:p w:rsidRPr="00F94B2F" w:rsidR="0071167C" w:rsidP="0071167C" w:rsidRDefault="0071167C" w14:paraId="14C9A67B" w14:textId="77777777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Curso: </w:t>
      </w:r>
      <w:r w:rsidRPr="00F94B2F">
        <w:rPr>
          <w:rFonts w:ascii="Times New Roman" w:hAnsi="Times New Roman" w:cs="Times New Roman"/>
          <w:sz w:val="24"/>
          <w:szCs w:val="24"/>
          <w:lang w:val="es-MX"/>
        </w:rPr>
        <w:t>Modelos Pedagógicos.</w:t>
      </w:r>
    </w:p>
    <w:p w:rsidRPr="00F94B2F" w:rsidR="0071167C" w:rsidP="0071167C" w:rsidRDefault="0071167C" w14:paraId="2094A377" w14:textId="56AC636F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Docente:</w:t>
      </w:r>
      <w:r w:rsidRPr="00F94B2F">
        <w:rPr>
          <w:rFonts w:ascii="Times New Roman" w:hAnsi="Times New Roman" w:cs="Times New Roman"/>
          <w:sz w:val="24"/>
          <w:szCs w:val="24"/>
          <w:lang w:val="es-MX"/>
        </w:rPr>
        <w:t xml:space="preserve"> Héctor Homero de la Rosa Fuentes.</w:t>
      </w:r>
    </w:p>
    <w:p w:rsidRPr="00F94B2F" w:rsidR="00F94B2F" w:rsidP="00F94B2F" w:rsidRDefault="00F94B2F" w14:paraId="07296F2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•Establece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Pr="00F94B2F" w:rsidR="00F94B2F" w:rsidP="00F94B2F" w:rsidRDefault="00F94B2F" w14:paraId="5B9ADD6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•Utiliza metodologías pertinentes y actualizadas para promover el aprendizaje de los alumnos en los diferentes campos, áreas y ámbitos que propone el currículum, considerando los contextos y su desarrollo.</w:t>
      </w:r>
    </w:p>
    <w:p w:rsidRPr="00F94B2F" w:rsidR="00F94B2F" w:rsidP="00F94B2F" w:rsidRDefault="00F94B2F" w14:paraId="5F2C79E7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•Incorpora los recursos y medios didácticos idóneos para favorecer el aprendizaje de acuerdo con el conocimiento de los procesos de desarrollo cognitivo y socioemocional de los alumnos.</w:t>
      </w:r>
    </w:p>
    <w:p w:rsidRPr="00F94B2F" w:rsidR="00F94B2F" w:rsidP="00F94B2F" w:rsidRDefault="00F94B2F" w14:paraId="484D89A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•Selecciona estrategias que favorecen el desarrollo intelectual, físico, social y emocional de los alumnos para procurar el logro de los aprendizajes.</w:t>
      </w:r>
    </w:p>
    <w:p w:rsidRPr="00F94B2F" w:rsidR="00F94B2F" w:rsidP="00F94B2F" w:rsidRDefault="00F94B2F" w14:paraId="61A7AE3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•Emplea los medios tecnológicos y las fuentes de información científica disponibles para mantenerse actualizado respecto a los diversos campos de conocimiento que intervienen en su trabajo docente.</w:t>
      </w:r>
    </w:p>
    <w:p w:rsidRPr="00F94B2F" w:rsidR="00F94B2F" w:rsidP="00F94B2F" w:rsidRDefault="00F94B2F" w14:paraId="78D3D4F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•Utiliza los recursos metodológicos y técnicos de la investigación para explicar, comprender situaciones educativas y mejorar su docencia.</w:t>
      </w:r>
    </w:p>
    <w:p w:rsidRPr="00F94B2F" w:rsidR="00F94B2F" w:rsidP="00F94B2F" w:rsidRDefault="00F94B2F" w14:paraId="719ED9A8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•Orienta su actuación profesional con sentido ético-valoral y asume los diversos principios y reglas que aseguran una mejor convivencia institucional y social, en beneficio de los alumnos y de la comunidad escolar.</w:t>
      </w:r>
    </w:p>
    <w:p w:rsidRPr="00F94B2F" w:rsidR="00F94B2F" w:rsidP="00F94B2F" w:rsidRDefault="00F94B2F" w14:paraId="505E4BB0" w14:textId="7610E3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•Decide las estrategias pedagógicas para minimizar o eliminar las barreras para el aprendizaje y la participación asegurando una educación inclusiva.</w:t>
      </w:r>
    </w:p>
    <w:p w:rsidR="00F94B2F" w:rsidP="00F94B2F" w:rsidRDefault="0071167C" w14:paraId="1EDECF0A" w14:textId="77777777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B2F">
        <w:rPr>
          <w:rFonts w:ascii="Times New Roman" w:hAnsi="Times New Roman" w:cs="Times New Roman"/>
          <w:b/>
          <w:bCs/>
          <w:sz w:val="24"/>
          <w:szCs w:val="24"/>
          <w:lang w:val="es-MX"/>
        </w:rPr>
        <w:t>Alumna:</w:t>
      </w:r>
      <w:r w:rsidRPr="00F94B2F">
        <w:rPr>
          <w:rFonts w:ascii="Times New Roman" w:hAnsi="Times New Roman" w:cs="Times New Roman"/>
          <w:sz w:val="24"/>
          <w:szCs w:val="24"/>
          <w:lang w:val="es-MX"/>
        </w:rPr>
        <w:t xml:space="preserve"> Carolina Elizabeth Martínez González #13</w:t>
      </w:r>
    </w:p>
    <w:p w:rsidR="00F94B2F" w:rsidP="3D90BD78" w:rsidRDefault="0071167C" w14:paraId="696F772D" w14:textId="7B6CB6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3D90BD78">
        <w:rPr>
          <w:rFonts w:ascii="Times New Roman" w:hAnsi="Times New Roman" w:cs="Times New Roman"/>
          <w:sz w:val="24"/>
          <w:szCs w:val="24"/>
          <w:lang w:val="es-MX"/>
        </w:rPr>
        <w:t xml:space="preserve">Saltillo, Coahuila de Zaragoza                                                                              </w:t>
      </w:r>
      <w:r w:rsidRPr="3D90BD78" w:rsidR="3434E0E0"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  <w:r w:rsidRPr="3D90BD78">
        <w:rPr>
          <w:rFonts w:ascii="Times New Roman" w:hAnsi="Times New Roman" w:cs="Times New Roman"/>
          <w:sz w:val="24"/>
          <w:szCs w:val="24"/>
          <w:lang w:val="es-MX"/>
        </w:rPr>
        <w:t>19 de junio de 2023</w:t>
      </w:r>
    </w:p>
    <w:p w:rsidR="00F94B2F" w:rsidP="3D90BD78" w:rsidRDefault="00F94B2F" w14:paraId="7B20874A" w14:textId="3D76A70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F94B2F" w:rsidP="3D90BD78" w:rsidRDefault="00F94B2F" w14:paraId="049B81B6" w14:textId="5B89B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F94B2F" w:rsidP="3D90BD78" w:rsidRDefault="00F94B2F" w14:paraId="31D11EEE" w14:textId="3D1A4A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F94B2F" w:rsidP="3D90BD78" w:rsidRDefault="00F94B2F" w14:paraId="59CE54A0" w14:textId="0556B5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F94B2F" w:rsidP="3D90BD78" w:rsidRDefault="00F94B2F" w14:paraId="449C9403" w14:textId="0B16A5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F94B2F" w:rsidP="03C78CE4" w:rsidRDefault="00F94B2F" w14:paraId="1B73B3C4" w14:textId="477B18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3D90BD78">
        <w:rPr>
          <w:rFonts w:ascii="Times New Roman" w:hAnsi="Times New Roman" w:cs="Times New Roman"/>
          <w:b/>
          <w:bCs/>
          <w:sz w:val="24"/>
          <w:szCs w:val="24"/>
          <w:lang w:val="es-ES"/>
        </w:rPr>
        <w:t>Modelo pedagógico en el plan y programa.</w:t>
      </w:r>
    </w:p>
    <w:p w:rsidR="1E03471C" w:rsidP="03C78CE4" w:rsidRDefault="1E03471C" w14:paraId="7AF049D9" w14:textId="4C301DA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El programa de aprendizajes claves de </w:t>
      </w:r>
      <w:r w:rsidRPr="03C78CE4" w:rsidR="512410C2">
        <w:rPr>
          <w:rFonts w:ascii="Times New Roman" w:hAnsi="Times New Roman" w:cs="Times New Roman"/>
          <w:b/>
          <w:bCs/>
          <w:sz w:val="24"/>
          <w:szCs w:val="24"/>
          <w:lang w:val="es-ES"/>
        </w:rPr>
        <w:t>educación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preescolar se basa </w:t>
      </w:r>
      <w:r w:rsidRPr="03C78CE4" w:rsidR="5D75A14A">
        <w:rPr>
          <w:rFonts w:ascii="Times New Roman" w:hAnsi="Times New Roman" w:cs="Times New Roman"/>
          <w:b/>
          <w:bCs/>
          <w:sz w:val="24"/>
          <w:szCs w:val="24"/>
          <w:lang w:val="es-ES"/>
        </w:rPr>
        <w:t>principalmente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en 14 modelos </w:t>
      </w:r>
      <w:r w:rsidRPr="03C78CE4" w:rsidR="5EF7D90B">
        <w:rPr>
          <w:rFonts w:ascii="Times New Roman" w:hAnsi="Times New Roman" w:cs="Times New Roman"/>
          <w:b/>
          <w:bCs/>
          <w:sz w:val="24"/>
          <w:szCs w:val="24"/>
          <w:lang w:val="es-ES"/>
        </w:rPr>
        <w:t>pedagógicos</w:t>
      </w:r>
      <w:r w:rsidRPr="03C78CE4" w:rsidR="3F3D9C87">
        <w:rPr>
          <w:rFonts w:ascii="Times New Roman" w:hAnsi="Times New Roman" w:cs="Times New Roman"/>
          <w:b/>
          <w:bCs/>
          <w:sz w:val="24"/>
          <w:szCs w:val="24"/>
          <w:lang w:val="es-ES"/>
        </w:rPr>
        <w:t>, los cuales se organizan de esta manera</w:t>
      </w:r>
      <w:r w:rsidRPr="03C78CE4" w:rsidR="203251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(referencia </w:t>
      </w:r>
      <w:hyperlink r:id="rId6">
        <w:r w:rsidRPr="03C78CE4" w:rsidR="2032511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"/>
          </w:rPr>
          <w:t>https://blog.up.edu.mx/prepaup/principios-pedagogicos-del-nuevo-modelo-educativo</w:t>
        </w:r>
      </w:hyperlink>
      <w:r w:rsidRPr="03C78CE4" w:rsidR="203251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)</w:t>
      </w:r>
      <w:r w:rsidRPr="03C78CE4" w:rsidR="3F3D9C87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03C78CE4" w:rsidR="7BBA4B2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:rsidR="5D609B11" w:rsidP="03C78CE4" w:rsidRDefault="5D609B11" w14:paraId="36673585" w14:textId="62262EC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Poner al estudiante y su aprendizaje como eje central del proceso educativo.</w:t>
      </w:r>
    </w:p>
    <w:p w:rsidR="5D609B11" w:rsidP="03C78CE4" w:rsidRDefault="5D609B11" w14:paraId="7FAD9F86" w14:textId="79CB381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Ayudarlos a desarrollar su potencial cognitivo brindándole recursos intelectuales, personales y sociales que les ayuden en su futuro, la enseñanza es significativa si genera aprendizaje verdadero.</w:t>
      </w:r>
    </w:p>
    <w:p w:rsidR="5D609B11" w:rsidP="03C78CE4" w:rsidRDefault="5D609B11" w14:paraId="237B979B" w14:textId="089E2C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Tener en cuenta el conocimiento previo del estudiante.</w:t>
      </w:r>
    </w:p>
    <w:p w:rsidR="5D609B11" w:rsidP="03C78CE4" w:rsidRDefault="5D609B11" w14:paraId="18FF590D" w14:textId="2AC2CA0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Conectar el conocimiento previo con el nuevo, para crear un proceso de aprendizaje más fluido y que la planeación de la enseñanza sea sensible a las necesidades específicas de cada alumno.</w:t>
      </w:r>
    </w:p>
    <w:p w:rsidR="5D609B11" w:rsidP="03C78CE4" w:rsidRDefault="5D609B11" w14:paraId="4AE2BC6D" w14:textId="30688C9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Ofrecer acompañamiento al aprendizaje.</w:t>
      </w:r>
    </w:p>
    <w:p w:rsidR="5D609B11" w:rsidP="03C78CE4" w:rsidRDefault="5D609B11" w14:paraId="5869F00B" w14:textId="7D0760C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La participación del maestro y de todo el grupo, además del involucramiento de directores, profesores y padres en la formación del estudiante, ayudará al desarrollo emocional </w:t>
      </w:r>
      <w:r w:rsidRPr="03C78CE4" w:rsidR="5FD0807D">
        <w:rPr>
          <w:rFonts w:ascii="Times New Roman" w:hAnsi="Times New Roman" w:cs="Times New Roman"/>
          <w:b/>
          <w:bCs/>
          <w:sz w:val="24"/>
          <w:szCs w:val="24"/>
          <w:lang w:val="es-ES"/>
        </w:rPr>
        <w:t>e intelectual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cada alumno.</w:t>
      </w:r>
    </w:p>
    <w:p w:rsidR="5D609B11" w:rsidP="03C78CE4" w:rsidRDefault="5D609B11" w14:paraId="79AC0CDE" w14:textId="416190D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Conocer los intereses de los estudiantes.</w:t>
      </w:r>
      <w:r w:rsidRPr="03C78CE4" w:rsidR="4443A68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:rsidR="5D609B11" w:rsidP="03C78CE4" w:rsidRDefault="5D609B11" w14:paraId="2618E8F8" w14:textId="05032F4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Planear mejor la enseñanza y encontrar métodos que los inviten a involucrarse más en el aprendizaje. </w:t>
      </w:r>
    </w:p>
    <w:p w:rsidR="5D609B11" w:rsidP="03C78CE4" w:rsidRDefault="5D609B11" w14:paraId="1C2F8CBF" w14:textId="24D8985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Estimula la curiosidad</w:t>
      </w:r>
    </w:p>
    <w:p w:rsidR="5D609B11" w:rsidP="03C78CE4" w:rsidRDefault="5D609B11" w14:paraId="2A9D49DD" w14:textId="6788B42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El profesor será responsable de diseñar estrategias que hagan relevante el conocimiento para que el alumno tome control de su proceso de aprendizaje.</w:t>
      </w:r>
    </w:p>
    <w:p w:rsidR="5D609B11" w:rsidP="03C78CE4" w:rsidRDefault="5D609B11" w14:paraId="533D9BF8" w14:textId="5B931AD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Reconocer la naturaleza social del conocimiento.</w:t>
      </w:r>
    </w:p>
    <w:p w:rsidR="5D609B11" w:rsidP="03C78CE4" w:rsidRDefault="5D609B11" w14:paraId="141BB936" w14:textId="5B59FCE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Propiciar el trabajo colaborativo para que los estudiantes debatan y generen nuevas ideas; que los alumnos más aventajados contribuyan a la formación de sus compañeros.</w:t>
      </w:r>
    </w:p>
    <w:p w:rsidR="5D609B11" w:rsidP="03C78CE4" w:rsidRDefault="5D609B11" w14:paraId="18B9DCDD" w14:textId="12A3371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Aprendizaje en circunstancias reales.</w:t>
      </w:r>
    </w:p>
    <w:p w:rsidR="5D609B11" w:rsidP="03C78CE4" w:rsidRDefault="5D609B11" w14:paraId="62BDE354" w14:textId="500FC53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Contextualizar las enseñanzas para que el estudiante las relacione con la vida cotidiana, dando lugar a la diversidad de conocimientos y habilidades del estudiante.</w:t>
      </w:r>
    </w:p>
    <w:p w:rsidR="5D609B11" w:rsidP="03C78CE4" w:rsidRDefault="5D609B11" w14:paraId="5A4A516C" w14:textId="2860424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La evaluación como proceso de planeación del aprendizaje.</w:t>
      </w:r>
    </w:p>
    <w:p w:rsidR="5D609B11" w:rsidP="03C78CE4" w:rsidRDefault="5D609B11" w14:paraId="5AFA9D74" w14:textId="7F45D15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No utilizar la evaluación como un recurso para medir el conocimiento memorístico, sino como un método para definir los aprendizajes esperados y verificar si los estudiantes los han alcanzado.</w:t>
      </w:r>
    </w:p>
    <w:p w:rsidR="5D609B11" w:rsidP="03C78CE4" w:rsidRDefault="5D609B11" w14:paraId="6FB8AA7C" w14:textId="2F250B0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Modelar el aprendizaje.</w:t>
      </w:r>
    </w:p>
    <w:p w:rsidR="5D609B11" w:rsidP="03C78CE4" w:rsidRDefault="5D609B11" w14:paraId="7D2BD714" w14:textId="374DE54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El profesor será el ejemplo para los estudiantes, por lo tanto, debe estar capacitado para ejecutar estrategias de aprendizaje innovadoras</w:t>
      </w:r>
    </w:p>
    <w:p w:rsidR="5D609B11" w:rsidP="03C78CE4" w:rsidRDefault="5D609B11" w14:paraId="6CB37F44" w14:textId="68C09F0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Valorar el aprendizaje informal</w:t>
      </w:r>
    </w:p>
    <w:p w:rsidR="5D609B11" w:rsidP="03C78CE4" w:rsidRDefault="5D609B11" w14:paraId="3450AD9D" w14:textId="5742064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Hoy en día los jóvenes cuentan con diversas fuentes de información, por lo que ahora se</w:t>
      </w:r>
      <w:r w:rsidRPr="03C78CE4" w:rsidR="601B8C1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considera de suma importancia el uso de las nuevas tecnologías para incorporarlas adecuadamente al aula.</w:t>
      </w:r>
      <w:r>
        <w:br/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Promover la interdisciplinariedad.</w:t>
      </w:r>
    </w:p>
    <w:p w:rsidR="5D609B11" w:rsidP="03C78CE4" w:rsidRDefault="5D609B11" w14:paraId="775D7740" w14:textId="522DA0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El nuevo plan educativo reconoce que las materias no son aisladas y busca crear relaciones entre las diversas materias que se imparten.</w:t>
      </w:r>
    </w:p>
    <w:p w:rsidR="5D609B11" w:rsidP="03C78CE4" w:rsidRDefault="5D609B11" w14:paraId="258A6494" w14:textId="5500C1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Favorecer la cultura del aprendizaje.</w:t>
      </w:r>
    </w:p>
    <w:p w:rsidR="5D609B11" w:rsidP="03C78CE4" w:rsidRDefault="5D609B11" w14:paraId="7562ACB3" w14:textId="127CEEC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Promover que el estudiante se comunique con otros para seguir aprendiendo y construir conocimiento individual y colectivo. </w:t>
      </w:r>
    </w:p>
    <w:p w:rsidR="5D609B11" w:rsidP="03C78CE4" w:rsidRDefault="5D609B11" w14:paraId="5D482645" w14:textId="5BC2A79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Apreciar la diversidad como fuente de riqueza.</w:t>
      </w:r>
    </w:p>
    <w:p w:rsidR="5D609B11" w:rsidP="03C78CE4" w:rsidRDefault="5D609B11" w14:paraId="45F9BDFC" w14:textId="456A8B1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Reconocer la diversidad individual como característica positiva del proceso de aprendizaje en el aula. Fomentando valores como respeto, solidaridad y justicia.</w:t>
      </w:r>
    </w:p>
    <w:p w:rsidR="5D609B11" w:rsidP="03C78CE4" w:rsidRDefault="5D609B11" w14:paraId="5D76B17E" w14:textId="312E815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Usar la disciplina como apoyo al aprendizaje.</w:t>
      </w:r>
    </w:p>
    <w:p w:rsidR="5D609B11" w:rsidP="03C78CE4" w:rsidRDefault="5D609B11" w14:paraId="73A7BA46" w14:textId="4EFDD20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Promover la autorregulación en los estudiantes para que sean conscientes del cumplimiento de sus responsabilidades sin ejercer la imposición.</w:t>
      </w:r>
    </w:p>
    <w:p w:rsidR="03C78CE4" w:rsidP="03C78CE4" w:rsidRDefault="03C78CE4" w14:paraId="4ED6304D" w14:textId="0412EDD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Pr="00F710CA" w:rsidR="00745842" w:rsidP="03C78CE4" w:rsidRDefault="00745842" w14:paraId="0242E081" w14:textId="3F0319A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Sustento filosófico.</w:t>
      </w:r>
    </w:p>
    <w:p w:rsidRPr="00F710CA" w:rsidR="009B46EF" w:rsidP="03C78CE4" w:rsidRDefault="00745842" w14:paraId="5A72E641" w14:textId="375758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Dentro del programa de educación preescolar se nos presenta un sustento filosófico, este sustento esta principalmente enfocado en el </w:t>
      </w:r>
      <w:r w:rsidRPr="03C78CE4" w:rsidR="72F4D268">
        <w:rPr>
          <w:rFonts w:ascii="Times New Roman" w:hAnsi="Times New Roman" w:cs="Times New Roman"/>
          <w:b/>
          <w:bCs/>
          <w:sz w:val="24"/>
          <w:szCs w:val="24"/>
          <w:lang w:val="es-ES"/>
        </w:rPr>
        <w:t>artículo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tercero de la constitución política de los estados unidos mexicanos</w:t>
      </w:r>
      <w:r w:rsidRPr="03C78CE4" w:rsidR="00CF68B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y</w:t>
      </w:r>
      <w:r w:rsidRPr="03C78CE4" w:rsidR="009B46E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en los principios que tiene este mismo. </w:t>
      </w:r>
    </w:p>
    <w:p w:rsidRPr="00F710CA" w:rsidR="009B46EF" w:rsidP="03C78CE4" w:rsidRDefault="01DAEE4C" w14:paraId="76E8CB56" w14:textId="4CD6310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Artículo 3o. Toda persona tiene derecho a la educación. El Estado -Federación, Estados, Ciudad de México y Municipios- impartirá y garantizará la educación inicial, preescolar, primaria, secundaria, media superior y superior. La educación inicial, preescolar, primaria y secundaria conforman la educación básica; ésta y la media superior serán obligatorias, la educación superior lo será en términos de la fracción X del presente artículo.</w:t>
      </w:r>
      <w:r w:rsidRPr="03C78CE4" w:rsidR="43DD9B5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(referencia http://www.politicamigratoria.gob.mx/work/models/PoliticaMigratoria/CPM/DRII/normateca/nacional/CPEUM.pdf)</w:t>
      </w:r>
    </w:p>
    <w:p w:rsidRPr="00F710CA" w:rsidR="009B46EF" w:rsidP="03C78CE4" w:rsidRDefault="40A661E6" w14:paraId="3FF944F6" w14:textId="4403CB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T</w:t>
      </w:r>
      <w:r w:rsidRPr="03C78CE4" w:rsidR="51BE51B7">
        <w:rPr>
          <w:rFonts w:ascii="Times New Roman" w:hAnsi="Times New Roman" w:cs="Times New Roman"/>
          <w:b/>
          <w:bCs/>
          <w:sz w:val="24"/>
          <w:szCs w:val="24"/>
          <w:lang w:val="es-ES"/>
        </w:rPr>
        <w:t>eniendo</w:t>
      </w:r>
      <w:r w:rsidRPr="03C78CE4" w:rsidR="009B46E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en cuenta el derecho a la </w:t>
      </w:r>
      <w:r w:rsidRPr="03C78CE4" w:rsidR="1B9579B7">
        <w:rPr>
          <w:rFonts w:ascii="Times New Roman" w:hAnsi="Times New Roman" w:cs="Times New Roman"/>
          <w:b/>
          <w:bCs/>
          <w:sz w:val="24"/>
          <w:szCs w:val="24"/>
          <w:lang w:val="es-ES"/>
        </w:rPr>
        <w:t>educación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que tenemos todos y que los </w:t>
      </w:r>
      <w:r w:rsidRPr="03C78CE4" w:rsidR="009B46E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principios de laicidad, gratuidad, obligatoriedad y </w:t>
      </w:r>
      <w:r w:rsidRPr="03C78CE4" w:rsidR="1E60A576">
        <w:rPr>
          <w:rFonts w:ascii="Times New Roman" w:hAnsi="Times New Roman" w:cs="Times New Roman"/>
          <w:b/>
          <w:bCs/>
          <w:sz w:val="24"/>
          <w:szCs w:val="24"/>
          <w:lang w:val="es-ES"/>
        </w:rPr>
        <w:t>calidad</w:t>
      </w:r>
      <w:r w:rsidRPr="03C78CE4" w:rsidR="009B46E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son fundamentales para desarrollar la responsabilidad social </w:t>
      </w:r>
      <w:r w:rsidRPr="03C78CE4" w:rsidR="0B7FE7B3">
        <w:rPr>
          <w:rFonts w:ascii="Times New Roman" w:hAnsi="Times New Roman" w:cs="Times New Roman"/>
          <w:b/>
          <w:bCs/>
          <w:sz w:val="24"/>
          <w:szCs w:val="24"/>
          <w:lang w:val="es-ES"/>
        </w:rPr>
        <w:t>nos da una</w:t>
      </w:r>
      <w:r w:rsidRPr="03C78CE4" w:rsidR="009B46E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pertenencia </w:t>
      </w:r>
      <w:r w:rsidRPr="03C78CE4" w:rsidR="03B737C2">
        <w:rPr>
          <w:rFonts w:ascii="Times New Roman" w:hAnsi="Times New Roman" w:cs="Times New Roman"/>
          <w:b/>
          <w:bCs/>
          <w:sz w:val="24"/>
          <w:szCs w:val="24"/>
          <w:lang w:val="es-ES"/>
        </w:rPr>
        <w:t>para los</w:t>
      </w:r>
      <w:r w:rsidRPr="03C78CE4" w:rsidR="009B46E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futuros docentes que se desempeñen en la educación de preescolar, primaria y secundaria, especial mente en asegurar la calidad de la educación para que las niñas, niños y jóvenes alcancen su máximo grado de estudios. </w:t>
      </w:r>
    </w:p>
    <w:p w:rsidR="7A982C17" w:rsidP="03C78CE4" w:rsidRDefault="7A982C17" w14:paraId="386D660D" w14:textId="1FA86E36">
      <w:pPr>
        <w:spacing w:line="480" w:lineRule="auto"/>
        <w:rPr>
          <w:rStyle w:val="EndnoteReference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3C78CE4" w:rsidR="009B46EF">
        <w:rPr>
          <w:rFonts w:ascii="Times New Roman" w:hAnsi="Times New Roman" w:cs="Times New Roman"/>
          <w:b/>
          <w:bCs/>
          <w:sz w:val="24"/>
          <w:szCs w:val="24"/>
          <w:lang w:val="es-ES"/>
        </w:rPr>
        <w:t>La educación tiene el propósito de contribuir al desarrollo de las facultades en los alumnos, en lo social, físico, cognitivo y afectivo, siempre en igualdad. Para que de este modo los alumnos puedan participar activa, creativa y responsablemente en las tareas de nuestra sociedad.</w:t>
      </w:r>
    </w:p>
    <w:p w:rsidRPr="00F710CA" w:rsidR="009B46EF" w:rsidP="03C78CE4" w:rsidRDefault="00543825" w14:paraId="6206BD6F" w14:textId="1E4C72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Sustento psic</w:t>
      </w:r>
      <w:r w:rsidRPr="03C78CE4" w:rsidR="008012D3">
        <w:rPr>
          <w:rFonts w:ascii="Times New Roman" w:hAnsi="Times New Roman" w:cs="Times New Roman"/>
          <w:b/>
          <w:bCs/>
          <w:sz w:val="24"/>
          <w:szCs w:val="24"/>
          <w:lang w:val="es-ES"/>
        </w:rPr>
        <w:t>ológico.</w:t>
      </w:r>
    </w:p>
    <w:p w:rsidRPr="00F710CA" w:rsidR="009B46EF" w:rsidP="03C78CE4" w:rsidRDefault="009B46EF" w14:paraId="48F0387B" w14:textId="569337A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Para atender los fines y propósitos de la educación </w:t>
      </w:r>
      <w:r w:rsidRPr="03C78CE4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normal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y las necesidades de aprendizaje de los estudiantes, los futuros docentes se deben apropiarse de lo siguiente: métodos de enseñanza, estrategias didácticas, formas de evaluación, tecnologías de la información y </w:t>
      </w:r>
      <w:r w:rsidRPr="03C78CE4" w:rsidR="001C20EA">
        <w:rPr>
          <w:rFonts w:ascii="Times New Roman" w:hAnsi="Times New Roman" w:cs="Times New Roman"/>
          <w:b/>
          <w:bCs/>
          <w:sz w:val="24"/>
          <w:szCs w:val="24"/>
          <w:lang w:val="es-ES"/>
        </w:rPr>
        <w:t>a la comunicación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para que atender las necesidades de aprendizaje de los </w:t>
      </w:r>
      <w:r w:rsidRPr="03C78CE4" w:rsidR="303AEEB9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alumnos,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así como al contexto social y la diversidad</w:t>
      </w:r>
      <w:r w:rsidRPr="03C78CE4" w:rsidR="33365774">
        <w:rPr>
          <w:rFonts w:ascii="Times New Roman" w:hAnsi="Times New Roman" w:cs="Times New Roman"/>
          <w:b/>
          <w:bCs/>
          <w:sz w:val="24"/>
          <w:szCs w:val="24"/>
          <w:lang w:val="es-ES"/>
        </w:rPr>
        <w:t>, para que esto nos ayude en desarrollar nuevas estrategias y habilidades para el desarrollo del aprendizaje de los niños</w:t>
      </w:r>
      <w:r w:rsidRPr="03C78CE4" w:rsidR="48EC9154">
        <w:rPr>
          <w:rFonts w:ascii="Times New Roman" w:hAnsi="Times New Roman" w:cs="Times New Roman"/>
          <w:b/>
          <w:bCs/>
          <w:sz w:val="24"/>
          <w:szCs w:val="24"/>
          <w:lang w:val="es-ES"/>
        </w:rPr>
        <w:t>,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valores y actitudes, la toma de decisiones y la solución de problemas</w:t>
      </w:r>
      <w:r w:rsidRPr="03C78CE4" w:rsidR="7A7E3529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:rsidRPr="00F710CA" w:rsidR="009B46EF" w:rsidP="03C78CE4" w:rsidRDefault="009B46EF" w14:paraId="0027C619" w14:textId="060191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Sustento sociológico</w:t>
      </w:r>
    </w:p>
    <w:p w:rsidR="03C78CE4" w:rsidP="03C78CE4" w:rsidRDefault="03C78CE4" w14:paraId="5504856F" w14:textId="5E53AE4B">
      <w:pPr>
        <w:spacing w:line="480" w:lineRule="auto"/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</w:pPr>
      <w:r w:rsidRPr="4FAB24F7" w:rsidR="009B46EF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Ya que la educación es una función social, su investigación nos facilita dimensionar el papel que toman la escuela y el docente en contexto social</w:t>
      </w:r>
      <w:r w:rsidRPr="4FAB24F7" w:rsidR="444F009B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.</w:t>
      </w:r>
      <w:r w:rsidRPr="4FAB24F7" w:rsidR="7D40ACA8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 </w:t>
      </w:r>
      <w:r w:rsidRPr="4FAB24F7" w:rsidR="48286B8F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Aquí se toma </w:t>
      </w:r>
      <w:r w:rsidRPr="4FAB24F7" w:rsidR="2AE6AA59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más</w:t>
      </w:r>
      <w:r w:rsidRPr="4FAB24F7" w:rsidR="48286B8F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 en cuenta el contexto en el que se encuentra la </w:t>
      </w:r>
      <w:r w:rsidRPr="4FAB24F7" w:rsidR="12629810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institución o la entidad para favorecer el desarrollo de estrategias para cada uno de los aprendizajes.</w:t>
      </w:r>
    </w:p>
    <w:p w:rsidR="51D19582" w:rsidP="03C78CE4" w:rsidRDefault="51D19582" w14:paraId="6B36E510" w14:textId="7338146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Modelos pedagogicos.</w:t>
      </w:r>
    </w:p>
    <w:p w:rsidR="51D19582" w:rsidP="03C78CE4" w:rsidRDefault="51D19582" w14:paraId="3FE657F4" w14:textId="1D3496D6">
      <w:pPr>
        <w:spacing w:line="480" w:lineRule="auto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Se puede decir que el programa de aprendizajes claves</w:t>
      </w:r>
      <w:r w:rsidRPr="03C78CE4" w:rsidR="08EF311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se basa en un modelo constructivista y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3C78CE4" w:rsidR="5D82BD51">
        <w:rPr>
          <w:rFonts w:ascii="Times New Roman" w:hAnsi="Times New Roman" w:cs="Times New Roman"/>
          <w:b/>
          <w:bCs/>
          <w:sz w:val="24"/>
          <w:szCs w:val="24"/>
          <w:lang w:val="es-ES"/>
        </w:rPr>
        <w:t>está</w:t>
      </w: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fundamentada por tres autores, </w:t>
      </w:r>
      <w:r w:rsidRPr="03C78CE4" w:rsidR="51F71B51">
        <w:rPr>
          <w:rFonts w:ascii="Times New Roman" w:hAnsi="Times New Roman" w:cs="Times New Roman"/>
          <w:b/>
          <w:bCs/>
          <w:sz w:val="24"/>
          <w:szCs w:val="24"/>
          <w:lang w:val="es-ES"/>
        </w:rPr>
        <w:t>Lev Vygotski, Jean Piaget y David P. Ausubel</w:t>
      </w:r>
      <w:r w:rsidRPr="03C78CE4" w:rsidR="5A8E4FAC">
        <w:rPr>
          <w:rFonts w:ascii="Times New Roman" w:hAnsi="Times New Roman" w:cs="Times New Roman"/>
          <w:b/>
          <w:bCs/>
          <w:sz w:val="24"/>
          <w:szCs w:val="24"/>
          <w:lang w:val="es-ES"/>
        </w:rPr>
        <w:t>, ya que estos autores en sus investigaciones en el campo del conocimiento de los niños.</w:t>
      </w:r>
    </w:p>
    <w:p w:rsidR="34AC6E22" w:rsidP="03C78CE4" w:rsidRDefault="34AC6E22" w14:paraId="05339A4C" w14:textId="19ECB91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 llama constructivismo porque está basado en la teoría de que todas las personas, activamente, construyen su propio conocimiento.  </w:t>
      </w:r>
      <w:hyperlink r:id="rId7">
        <w:r w:rsidRPr="03C78CE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"/>
          </w:rPr>
          <w:t>https://www.cfh.edu.mx/blog/que-es-el-modelo-constructivista-secundaria</w:t>
        </w:r>
      </w:hyperlink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:rsidR="34AC6E22" w:rsidP="03C78CE4" w:rsidRDefault="34AC6E22" w14:paraId="652A5693" w14:textId="380D5161">
      <w:pPr>
        <w:spacing w:line="480" w:lineRule="auto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65FAA419" w:rsidR="34AC6E22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Para </w:t>
      </w:r>
      <w:r w:rsidRPr="65FAA419" w:rsidR="14677EE9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Piaget</w:t>
      </w:r>
      <w:r w:rsidRPr="65FAA419" w:rsidR="34AC6E22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 </w:t>
      </w:r>
      <w:r w:rsidRPr="65FAA419" w:rsidR="211D9029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: </w:t>
      </w:r>
      <w:r w:rsidRPr="65FAA419" w:rsidR="1C41EF0A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la </w:t>
      </w:r>
      <w:r w:rsidRPr="65FAA419" w:rsidR="77A3603D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teoría</w:t>
      </w:r>
      <w:r w:rsidRPr="65FAA419" w:rsidR="1C41EF0A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 de este autor se basa en el</w:t>
      </w:r>
      <w:r w:rsidRPr="65FAA419" w:rsidR="1C41EF0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ES"/>
        </w:rPr>
        <w:t xml:space="preserve"> conocimiento es el resultado de un proceso de construcción en el que la persona participa activamente</w:t>
      </w:r>
      <w:r w:rsidRPr="65FAA419" w:rsidR="25192151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ES"/>
        </w:rPr>
        <w:t xml:space="preserve"> </w:t>
      </w:r>
      <w:hyperlink r:id="Raa3e4cacac2c474f">
        <w:r w:rsidRPr="65FAA419" w:rsidR="25192151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  <w:lang w:val="es-ES"/>
          </w:rPr>
          <w:t>https://core.ac.uk/download/pdf/148622351.pdf</w:t>
        </w:r>
      </w:hyperlink>
      <w:r w:rsidRPr="65FAA419" w:rsidR="25192151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ES"/>
        </w:rPr>
        <w:t xml:space="preserve"> pag 10</w:t>
      </w:r>
    </w:p>
    <w:p w:rsidR="65FAA419" w:rsidP="65FAA419" w:rsidRDefault="65FAA419" w14:paraId="5C448EFC" w14:textId="6CA71F5F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ES"/>
        </w:rPr>
      </w:pPr>
      <w:r w:rsidRPr="4FAB24F7" w:rsidR="5FC9364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ES"/>
        </w:rPr>
        <w:t xml:space="preserve">Vygotsky: este autor nos dice “se aprende en interacción con los demás y se produce el desarrollo cuando internamente se controla el proceso, integrando las nuevas competencias a la estructura cognitiva.” </w:t>
      </w:r>
      <w:hyperlink r:id="R49faeb99d1f043a0">
        <w:r w:rsidRPr="4FAB24F7" w:rsidR="4E0F5496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  <w:lang w:val="es-ES"/>
          </w:rPr>
          <w:t>https://core.ac.uk/download/pdf/148622351.pdf</w:t>
        </w:r>
      </w:hyperlink>
      <w:r w:rsidRPr="4FAB24F7" w:rsidR="4E0F549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ES"/>
        </w:rPr>
        <w:t xml:space="preserve"> pag12</w:t>
      </w:r>
    </w:p>
    <w:p w:rsidR="31119E75" w:rsidP="03C78CE4" w:rsidRDefault="31119E75" w14:paraId="5EE953FB" w14:textId="3446AAA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Ausubel:</w:t>
      </w:r>
      <w:r w:rsidRPr="03C78CE4" w:rsidR="78722E6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hyperlink r:id="rId9">
        <w:r w:rsidRPr="03C78CE4" w:rsidR="78722E6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"/>
          </w:rPr>
          <w:t>https://www.redalyc.org/pdf/373/37319199005.pdf</w:t>
        </w:r>
      </w:hyperlink>
      <w:r w:rsidRPr="03C78CE4" w:rsidR="78722E6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pag 24</w:t>
      </w:r>
    </w:p>
    <w:p w:rsidR="31119E75" w:rsidP="03C78CE4" w:rsidRDefault="31119E75" w14:paraId="12CB9232" w14:textId="2BAF69B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1.  Que los materiales de enseñanza estén estructurados lógicamente con una jerarquía conceptual, situándose en la parte superior los más generales, inclusivos y poco diferenciados.</w:t>
      </w:r>
    </w:p>
    <w:p w:rsidR="31119E75" w:rsidP="03C78CE4" w:rsidRDefault="31119E75" w14:paraId="51F2E58E" w14:textId="6530F64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>2.Que se organice la enseñanza respetando la estructura psicológica del alumno, es decir, sus conocimientos previos y sus estilos de aprendizaje.</w:t>
      </w:r>
    </w:p>
    <w:p w:rsidR="31119E75" w:rsidP="03C78CE4" w:rsidRDefault="31119E75" w14:paraId="2D025C2D" w14:textId="4BF1A01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3.Que los alumnos estén motivados para aprender.</w:t>
      </w:r>
    </w:p>
    <w:p w:rsidR="5A8E4FAC" w:rsidP="03C78CE4" w:rsidRDefault="5A8E4FAC" w14:paraId="4C6292B4" w14:textId="2C40BD9D">
      <w:pPr>
        <w:spacing w:line="480" w:lineRule="auto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3C78C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3C78CE4" w:rsidR="51D19582">
        <w:rPr>
          <w:rFonts w:ascii="Arial" w:hAnsi="Arial" w:eastAsia="Arial" w:cs="Arial"/>
          <w:color w:val="FFFFFF" w:themeColor="background1"/>
          <w:sz w:val="27"/>
          <w:szCs w:val="27"/>
          <w:lang w:val="es-ES"/>
        </w:rPr>
        <w:t>v Vygotski, Jean Piaget y David P. Ausubel</w:t>
      </w:r>
    </w:p>
    <w:p w:rsidRPr="00F710CA" w:rsidR="0071167C" w:rsidP="00F94B2F" w:rsidRDefault="0071167C" w14:paraId="0C682AED" w14:textId="1622AEA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710CA"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:rsidRPr="000077F5" w:rsidR="004F5625" w:rsidP="004F5625" w:rsidRDefault="004F5625" w14:paraId="32F5D492" w14:textId="0CB4BA9F">
      <w:pPr>
        <w:rPr>
          <w:rFonts w:cstheme="minorHAnsi"/>
          <w:b/>
          <w:sz w:val="28"/>
          <w:szCs w:val="21"/>
          <w:lang w:val="es-ES"/>
        </w:rPr>
      </w:pPr>
      <w:r>
        <w:rPr>
          <w:rFonts w:cstheme="minorHAnsi"/>
          <w:b/>
          <w:sz w:val="28"/>
          <w:szCs w:val="21"/>
          <w:lang w:val="es-ES"/>
        </w:rPr>
        <w:t xml:space="preserve">                                               </w:t>
      </w:r>
      <w:r w:rsidRPr="000077F5">
        <w:rPr>
          <w:rFonts w:cstheme="minorHAnsi"/>
          <w:b/>
          <w:sz w:val="28"/>
          <w:szCs w:val="21"/>
          <w:lang w:val="es-ES"/>
        </w:rPr>
        <w:t xml:space="preserve">Rúbrica UNIDAD </w:t>
      </w:r>
      <w:r>
        <w:rPr>
          <w:rFonts w:cstheme="minorHAnsi"/>
          <w:b/>
          <w:sz w:val="28"/>
          <w:szCs w:val="21"/>
          <w:lang w:val="es-ES"/>
        </w:rPr>
        <w:t>I</w:t>
      </w:r>
      <w:r w:rsidRPr="000077F5">
        <w:rPr>
          <w:rFonts w:cstheme="minorHAnsi"/>
          <w:b/>
          <w:sz w:val="28"/>
          <w:szCs w:val="21"/>
          <w:lang w:val="es-ES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9"/>
        <w:gridCol w:w="6829"/>
      </w:tblGrid>
      <w:tr w:rsidR="004F5625" w:rsidTr="00C21DC7" w14:paraId="30750198" w14:textId="77777777">
        <w:trPr>
          <w:trHeight w:val="170"/>
        </w:trPr>
        <w:tc>
          <w:tcPr>
            <w:tcW w:w="3482" w:type="dxa"/>
          </w:tcPr>
          <w:p w:rsidRPr="00D538DF" w:rsidR="004F5625" w:rsidP="00E37A7C" w:rsidRDefault="004F5625" w14:paraId="1BE8B331" w14:textId="7777777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Unidad de competencia a evaluar</w:t>
            </w:r>
          </w:p>
        </w:tc>
        <w:tc>
          <w:tcPr>
            <w:tcW w:w="9237" w:type="dxa"/>
          </w:tcPr>
          <w:p w:rsidRPr="00D538DF" w:rsidR="004F5625" w:rsidP="00E37A7C" w:rsidRDefault="004F5625" w14:paraId="492F2396" w14:textId="7777777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Criterios de desempeño</w:t>
            </w:r>
          </w:p>
        </w:tc>
      </w:tr>
      <w:tr w:rsidRPr="00D41A61" w:rsidR="004F5625" w:rsidTr="00C21DC7" w14:paraId="1B938661" w14:textId="77777777">
        <w:trPr>
          <w:trHeight w:val="1056"/>
        </w:trPr>
        <w:tc>
          <w:tcPr>
            <w:tcW w:w="3482" w:type="dxa"/>
          </w:tcPr>
          <w:p w:rsidRPr="00CA405C" w:rsidR="004F5625" w:rsidP="00E37A7C" w:rsidRDefault="004F5625" w14:paraId="13CADE5E" w14:textId="77777777">
            <w:pPr>
              <w:tabs>
                <w:tab w:val="left" w:pos="4442"/>
              </w:tabs>
              <w:spacing w:before="48" w:beforeLines="20" w:after="48" w:afterLines="20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sz w:val="20"/>
                <w:szCs w:val="18"/>
                <w:lang w:val="es-ES"/>
              </w:rPr>
              <w:t>UNIDAD I</w:t>
            </w:r>
            <w:r>
              <w:rPr>
                <w:rFonts w:cstheme="minorHAnsi"/>
                <w:b/>
                <w:sz w:val="20"/>
                <w:szCs w:val="18"/>
                <w:lang w:val="es-ES"/>
              </w:rPr>
              <w:t>I</w:t>
            </w:r>
          </w:p>
          <w:p w:rsidR="004F5625" w:rsidP="004F5625" w:rsidRDefault="004F5625" w14:paraId="68C16DD3" w14:textId="77777777">
            <w:pPr>
              <w:tabs>
                <w:tab w:val="left" w:pos="4442"/>
              </w:tabs>
              <w:spacing w:before="48" w:beforeLines="20" w:after="48" w:afterLines="20" w:line="276" w:lineRule="auto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El modelo y su concreción en el aula: procesos y prácticas de enseñanza y aprendizaje</w:t>
            </w:r>
          </w:p>
        </w:tc>
        <w:tc>
          <w:tcPr>
            <w:tcW w:w="9237" w:type="dxa"/>
          </w:tcPr>
          <w:p w:rsidR="004F5625" w:rsidP="00E37A7C" w:rsidRDefault="004F5625" w14:paraId="5F9F21E6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1.Dominio de contenidos específicos</w:t>
            </w:r>
          </w:p>
          <w:p w:rsidR="004F5625" w:rsidP="00E37A7C" w:rsidRDefault="004F5625" w14:paraId="76E4641F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2.Expresión escrita</w:t>
            </w:r>
          </w:p>
          <w:p w:rsidR="004F5625" w:rsidP="00E37A7C" w:rsidRDefault="004F5625" w14:paraId="32E1E4DC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3.Gestión de la información</w:t>
            </w:r>
          </w:p>
          <w:p w:rsidR="004F5625" w:rsidP="00E37A7C" w:rsidRDefault="004F5625" w14:paraId="1F159F78" w14:textId="77777777">
            <w:pPr>
              <w:jc w:val="both"/>
              <w:rPr>
                <w:lang w:val="es-ES"/>
              </w:rPr>
            </w:pPr>
          </w:p>
        </w:tc>
      </w:tr>
    </w:tbl>
    <w:p w:rsidRPr="00A73E77" w:rsidR="004F5625" w:rsidP="004F5625" w:rsidRDefault="004F5625" w14:paraId="09C87F61" w14:textId="77777777">
      <w:pPr>
        <w:jc w:val="both"/>
        <w:rPr>
          <w:b/>
          <w:lang w:val="es-ES"/>
        </w:rPr>
      </w:pPr>
      <w:r w:rsidRPr="00A73E77">
        <w:rPr>
          <w:b/>
          <w:lang w:val="es-ES"/>
        </w:rPr>
        <w:t xml:space="preserve">Rúbrica </w:t>
      </w:r>
    </w:p>
    <w:tbl>
      <w:tblPr>
        <w:tblStyle w:val="TableGrid"/>
        <w:tblW w:w="13497" w:type="dxa"/>
        <w:tblLayout w:type="fixed"/>
        <w:tblLook w:val="04A0" w:firstRow="1" w:lastRow="0" w:firstColumn="1" w:lastColumn="0" w:noHBand="0" w:noVBand="1"/>
      </w:tblPr>
      <w:tblGrid>
        <w:gridCol w:w="2830"/>
        <w:gridCol w:w="1231"/>
        <w:gridCol w:w="2115"/>
        <w:gridCol w:w="2277"/>
        <w:gridCol w:w="2441"/>
        <w:gridCol w:w="2603"/>
      </w:tblGrid>
      <w:tr w:rsidR="004F5625" w:rsidTr="00C21DC7" w14:paraId="6B1E9B76" w14:textId="77777777">
        <w:trPr>
          <w:gridAfter w:val="4"/>
          <w:wAfter w:w="9436" w:type="dxa"/>
          <w:trHeight w:val="385"/>
        </w:trPr>
        <w:tc>
          <w:tcPr>
            <w:tcW w:w="2830" w:type="dxa"/>
            <w:vMerge w:val="restart"/>
          </w:tcPr>
          <w:p w:rsidRPr="006B6F4F" w:rsidR="004F5625" w:rsidP="00E37A7C" w:rsidRDefault="004F5625" w14:paraId="6BCB6CE6" w14:textId="7777777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231" w:type="dxa"/>
            <w:vMerge w:val="restart"/>
          </w:tcPr>
          <w:p w:rsidRPr="006B6F4F" w:rsidR="004F5625" w:rsidP="00E37A7C" w:rsidRDefault="004F5625" w14:paraId="761DAA63" w14:textId="7777777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4F5625" w:rsidTr="00C21DC7" w14:paraId="705A674B" w14:textId="77777777">
        <w:trPr>
          <w:trHeight w:val="368"/>
        </w:trPr>
        <w:tc>
          <w:tcPr>
            <w:tcW w:w="2830" w:type="dxa"/>
            <w:vMerge/>
          </w:tcPr>
          <w:p w:rsidRPr="0043343C" w:rsidR="004F5625" w:rsidP="00E37A7C" w:rsidRDefault="004F5625" w14:paraId="103EF5AE" w14:textId="7777777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231" w:type="dxa"/>
            <w:vMerge/>
          </w:tcPr>
          <w:p w:rsidRPr="002172ED" w:rsidR="004F5625" w:rsidP="00E37A7C" w:rsidRDefault="004F5625" w14:paraId="5A63D8C5" w14:textId="7777777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115" w:type="dxa"/>
          </w:tcPr>
          <w:p w:rsidRPr="00C21DC7" w:rsidR="004F5625" w:rsidP="00E37A7C" w:rsidRDefault="004F5625" w14:paraId="1B9F9523" w14:textId="769F8CC9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</w:t>
            </w:r>
            <w:r w:rsidR="00C21DC7">
              <w:rPr>
                <w:b/>
                <w:sz w:val="20"/>
                <w:szCs w:val="18"/>
                <w:lang w:val="es-ES"/>
              </w:rPr>
              <w:t>e</w:t>
            </w:r>
          </w:p>
        </w:tc>
        <w:tc>
          <w:tcPr>
            <w:tcW w:w="2277" w:type="dxa"/>
          </w:tcPr>
          <w:p w:rsidRPr="00C21DC7" w:rsidR="004F5625" w:rsidP="00E37A7C" w:rsidRDefault="004F5625" w14:paraId="4661F584" w14:textId="53A186FD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</w:tc>
        <w:tc>
          <w:tcPr>
            <w:tcW w:w="2441" w:type="dxa"/>
          </w:tcPr>
          <w:p w:rsidRPr="00B766F5" w:rsidR="004F5625" w:rsidP="00E37A7C" w:rsidRDefault="004F5625" w14:paraId="3714A99D" w14:textId="7777777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:rsidRPr="00C21DC7" w:rsidR="004F5625" w:rsidP="00E37A7C" w:rsidRDefault="004F5625" w14:paraId="70B4E14F" w14:textId="76C47C89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</w:tc>
        <w:tc>
          <w:tcPr>
            <w:tcW w:w="2603" w:type="dxa"/>
          </w:tcPr>
          <w:p w:rsidRPr="00B766F5" w:rsidR="004F5625" w:rsidP="00E37A7C" w:rsidRDefault="004F5625" w14:paraId="66348404" w14:textId="7777777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:rsidRPr="00B766F5" w:rsidR="004F5625" w:rsidP="00E37A7C" w:rsidRDefault="004F5625" w14:paraId="07B97216" w14:textId="7777777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Pr="001A0570" w:rsidR="004F5625" w:rsidTr="00C21DC7" w14:paraId="1CD16C12" w14:textId="77777777">
        <w:trPr>
          <w:trHeight w:val="1863"/>
        </w:trPr>
        <w:tc>
          <w:tcPr>
            <w:tcW w:w="2830" w:type="dxa"/>
            <w:vMerge w:val="restart"/>
          </w:tcPr>
          <w:p w:rsidRPr="001A0570" w:rsidR="004F5625" w:rsidP="00E37A7C" w:rsidRDefault="004F5625" w14:paraId="57399604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name="_Hlk138066458" w:id="0"/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:rsidRPr="001A0570" w:rsidR="004F5625" w:rsidP="00E37A7C" w:rsidRDefault="004F5625" w14:paraId="573CF556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Pr="001A0570" w:rsidR="004F5625" w:rsidP="00E37A7C" w:rsidRDefault="004F5625" w14:paraId="589CD4EF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Pr="001A0570" w:rsidR="004F5625" w:rsidP="00E37A7C" w:rsidRDefault="004F5625" w14:paraId="13A1B5DC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Selecciona estrategias que favorecen el desarrollo intelectual, físico, social y emocional de los alumnos para procurar el logro de los aprendizajes.</w:t>
            </w:r>
          </w:p>
          <w:p w:rsidRPr="001A0570" w:rsidR="004F5625" w:rsidP="00E37A7C" w:rsidRDefault="004F5625" w14:paraId="3DCA7504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Pr="001A0570" w:rsidR="004F5625" w:rsidP="00E37A7C" w:rsidRDefault="004F5625" w14:paraId="1AF7E7DB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los recursos metodológicos y técnicos de la investigación para explicar, comprender situaciones educativas y mejorar su docencia.</w:t>
            </w:r>
          </w:p>
          <w:p w:rsidRPr="001A0570" w:rsidR="004F5625" w:rsidP="00E37A7C" w:rsidRDefault="004F5625" w14:paraId="33868863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Orienta su actuación profesional con sentido ético-valoral y asume los diversos principios y reglas que aseguran una mejor convivencia institucional y social, en beneficio de los alumnos y de la comunidad escolar.</w:t>
            </w:r>
          </w:p>
          <w:p w:rsidRPr="008872B6" w:rsidR="004F5625" w:rsidP="00E37A7C" w:rsidRDefault="004F5625" w14:paraId="4B2B10E9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1231" w:type="dxa"/>
          </w:tcPr>
          <w:p w:rsidRPr="008872B6" w:rsidR="004F5625" w:rsidP="00E37A7C" w:rsidRDefault="004F5625" w14:paraId="4E349768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.Dominio de contenidos específicos</w:t>
            </w:r>
          </w:p>
          <w:p w:rsidRPr="008872B6" w:rsidR="004F5625" w:rsidP="00E37A7C" w:rsidRDefault="004F5625" w14:paraId="52A145AD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8872B6" w:rsidR="004F5625" w:rsidP="00E37A7C" w:rsidRDefault="004F5625" w14:paraId="0FFACFF9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8872B6" w:rsidR="004F5625" w:rsidP="00E37A7C" w:rsidRDefault="004F5625" w14:paraId="240939EF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5" w:type="dxa"/>
          </w:tcPr>
          <w:p w:rsidRPr="001A0570" w:rsidR="004F5625" w:rsidP="00E37A7C" w:rsidRDefault="004F5625" w14:paraId="11003B54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Pr="001A0570" w:rsidR="004F5625" w:rsidP="00E37A7C" w:rsidRDefault="004F5625" w14:paraId="50F0AD27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Pr="001A0570" w:rsidR="004F5625" w:rsidP="00E37A7C" w:rsidRDefault="004F5625" w14:paraId="3C2F8E61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0775F795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Pr="001A0570" w:rsidR="004F5625" w:rsidP="00E37A7C" w:rsidRDefault="004F5625" w14:paraId="53A7C886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:rsidR="004F5625" w:rsidP="00E37A7C" w:rsidRDefault="004F5625" w14:paraId="66C49BC3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1F9874F0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36CAE0A6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4F5625" w:rsidP="00E37A7C" w:rsidRDefault="004F5625" w14:paraId="20190265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7A7D981B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8872B6" w:rsidR="004F5625" w:rsidP="00E37A7C" w:rsidRDefault="004F5625" w14:paraId="3F414596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2277" w:type="dxa"/>
          </w:tcPr>
          <w:p w:rsidRPr="001A0570" w:rsidR="004F5625" w:rsidP="00E37A7C" w:rsidRDefault="004F5625" w14:paraId="4617560C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Pr="001A0570" w:rsidR="004F5625" w:rsidP="00E37A7C" w:rsidRDefault="004F5625" w14:paraId="084CD9F0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Pr="001A0570" w:rsidR="004F5625" w:rsidP="00E37A7C" w:rsidRDefault="004F5625" w14:paraId="07517BEC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5C0BB4E5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4F5625" w:rsidP="00E37A7C" w:rsidRDefault="004F5625" w14:paraId="48279CD1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32B7DFC9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4F5625" w:rsidP="00E37A7C" w:rsidRDefault="004F5625" w14:paraId="5310DE09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4922EC11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5BC7181F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7FF55631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4F5625" w:rsidP="00E37A7C" w:rsidRDefault="004F5625" w14:paraId="01F89C73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8872B6" w:rsidR="004F5625" w:rsidP="00E37A7C" w:rsidRDefault="004F5625" w14:paraId="3996AAFD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</w:p>
        </w:tc>
        <w:tc>
          <w:tcPr>
            <w:tcW w:w="2441" w:type="dxa"/>
          </w:tcPr>
          <w:p w:rsidRPr="001A0570" w:rsidR="004F5625" w:rsidP="00E37A7C" w:rsidRDefault="004F5625" w14:paraId="642A8321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Pr="001A0570" w:rsidR="004F5625" w:rsidP="00E37A7C" w:rsidRDefault="004F5625" w14:paraId="4DF563F3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Pr="001A0570" w:rsidR="004F5625" w:rsidP="00E37A7C" w:rsidRDefault="004F5625" w14:paraId="5A084EBF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0BC1DDB1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4F5625" w:rsidP="00E37A7C" w:rsidRDefault="004F5625" w14:paraId="27627CC9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0859E851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7C320EDD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4F5625" w:rsidP="00E37A7C" w:rsidRDefault="004F5625" w14:paraId="27713144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3C7BD6A5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75E642B8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1D9A7153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4F5625" w:rsidP="00E37A7C" w:rsidRDefault="004F5625" w14:paraId="48FA46F5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4480FB9F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8872B6" w:rsidR="004F5625" w:rsidP="00E37A7C" w:rsidRDefault="004F5625" w14:paraId="2341DBB4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603" w:type="dxa"/>
          </w:tcPr>
          <w:p w:rsidRPr="001A0570" w:rsidR="004F5625" w:rsidP="00E37A7C" w:rsidRDefault="004F5625" w14:paraId="3096532C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Pr="001A0570" w:rsidR="004F5625" w:rsidP="00E37A7C" w:rsidRDefault="004F5625" w14:paraId="12017D1A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Pr="001A0570" w:rsidR="004F5625" w:rsidP="00E37A7C" w:rsidRDefault="004F5625" w14:paraId="5E29182C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699145FF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4F5625" w:rsidP="00E37A7C" w:rsidRDefault="004F5625" w14:paraId="053724B4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2F87B16F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03AEB0F7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5FC7ABB3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0A12E62B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1214C7EE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:rsidR="004F5625" w:rsidP="00E37A7C" w:rsidRDefault="004F5625" w14:paraId="4246B3CD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2D6C9E1C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3AFA5B75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319375B1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1A0570" w:rsidR="004F5625" w:rsidP="00E37A7C" w:rsidRDefault="004F5625" w14:paraId="0116C725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4F5625" w:rsidP="00E37A7C" w:rsidRDefault="004F5625" w14:paraId="61E280A0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496D5E15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F5625" w:rsidP="00E37A7C" w:rsidRDefault="004F5625" w14:paraId="03BF1669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8872B6" w:rsidR="004F5625" w:rsidP="00E37A7C" w:rsidRDefault="004F5625" w14:paraId="54CB7842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</w:tr>
      <w:bookmarkEnd w:id="0"/>
      <w:tr w:rsidRPr="001A0570" w:rsidR="004F5625" w:rsidTr="00C21DC7" w14:paraId="3B076CCB" w14:textId="77777777">
        <w:trPr>
          <w:trHeight w:val="1652"/>
        </w:trPr>
        <w:tc>
          <w:tcPr>
            <w:tcW w:w="2830" w:type="dxa"/>
            <w:vMerge/>
          </w:tcPr>
          <w:p w:rsidRPr="008872B6" w:rsidR="004F5625" w:rsidP="00E37A7C" w:rsidRDefault="004F5625" w14:paraId="292BBE31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31" w:type="dxa"/>
          </w:tcPr>
          <w:p w:rsidRPr="008872B6" w:rsidR="004F5625" w:rsidP="00E37A7C" w:rsidRDefault="004F5625" w14:paraId="0E2C1480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.Expresión escrita</w:t>
            </w:r>
          </w:p>
          <w:p w:rsidRPr="008872B6" w:rsidR="004F5625" w:rsidP="00E37A7C" w:rsidRDefault="004F5625" w14:paraId="4C1B3CE7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8872B6" w:rsidR="004F5625" w:rsidP="00E37A7C" w:rsidRDefault="004F5625" w14:paraId="4BFC51EB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5" w:type="dxa"/>
          </w:tcPr>
          <w:p w:rsidRPr="008872B6" w:rsidR="004F5625" w:rsidP="00E37A7C" w:rsidRDefault="004F5625" w14:paraId="29DF82B5" w14:textId="7777777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2277" w:type="dxa"/>
          </w:tcPr>
          <w:p w:rsidRPr="008872B6" w:rsidR="004F5625" w:rsidP="00E37A7C" w:rsidRDefault="004F5625" w14:paraId="7EA62787" w14:textId="7777777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2441" w:type="dxa"/>
          </w:tcPr>
          <w:p w:rsidRPr="008872B6" w:rsidR="004F5625" w:rsidP="00E37A7C" w:rsidRDefault="004F5625" w14:paraId="474754B6" w14:textId="7777777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 dificultad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2603" w:type="dxa"/>
          </w:tcPr>
          <w:p w:rsidRPr="008872B6" w:rsidR="004F5625" w:rsidP="00E37A7C" w:rsidRDefault="004F5625" w14:paraId="1689AEE6" w14:textId="7777777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</w:tr>
      <w:tr w:rsidRPr="001A0570" w:rsidR="004F5625" w:rsidTr="00C21DC7" w14:paraId="1979DC39" w14:textId="77777777">
        <w:trPr>
          <w:trHeight w:val="1652"/>
        </w:trPr>
        <w:tc>
          <w:tcPr>
            <w:tcW w:w="2830" w:type="dxa"/>
            <w:vMerge/>
          </w:tcPr>
          <w:p w:rsidRPr="008872B6" w:rsidR="004F5625" w:rsidP="00E37A7C" w:rsidRDefault="004F5625" w14:paraId="26E58D47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31" w:type="dxa"/>
          </w:tcPr>
          <w:p w:rsidRPr="008872B6" w:rsidR="004F5625" w:rsidP="00E37A7C" w:rsidRDefault="004F5625" w14:paraId="4F6994FD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:rsidRPr="008872B6" w:rsidR="004F5625" w:rsidP="00E37A7C" w:rsidRDefault="004F5625" w14:paraId="20859098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8872B6" w:rsidR="004F5625" w:rsidP="00E37A7C" w:rsidRDefault="004F5625" w14:paraId="3F08D329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5" w:type="dxa"/>
          </w:tcPr>
          <w:p w:rsidRPr="00B204CB" w:rsidR="004F5625" w:rsidP="00E37A7C" w:rsidRDefault="004F5625" w14:paraId="5099B1B9" w14:textId="77777777">
            <w:pPr>
              <w:shd w:val="clear" w:color="auto" w:fill="FFFFFF"/>
              <w:rPr>
                <w:rFonts w:ascii="Arial" w:hAnsi="Arial" w:eastAsia="Times New Roman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77" w:type="dxa"/>
          </w:tcPr>
          <w:p w:rsidRPr="008872B6" w:rsidR="004F5625" w:rsidP="00E37A7C" w:rsidRDefault="004F5625" w14:paraId="3343DA47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441" w:type="dxa"/>
          </w:tcPr>
          <w:p w:rsidRPr="008872B6" w:rsidR="004F5625" w:rsidP="00E37A7C" w:rsidRDefault="004F5625" w14:paraId="4D19A7FD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603" w:type="dxa"/>
          </w:tcPr>
          <w:p w:rsidRPr="008872B6" w:rsidR="004F5625" w:rsidP="00E37A7C" w:rsidRDefault="004F5625" w14:paraId="6C4E78B6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:rsidRPr="008872B6" w:rsidR="004F5625" w:rsidP="004F5625" w:rsidRDefault="004F5625" w14:paraId="73024527" w14:textId="77777777">
      <w:pPr>
        <w:rPr>
          <w:rFonts w:ascii="Arial" w:hAnsi="Arial" w:cs="Arial"/>
          <w:sz w:val="20"/>
          <w:szCs w:val="20"/>
          <w:lang w:val="es-ES"/>
        </w:rPr>
      </w:pPr>
    </w:p>
    <w:p w:rsidR="00E37A7C" w:rsidRDefault="00E37A7C" w14:paraId="3923F031" w14:textId="77777777"/>
    <w:sectPr w:rsidR="00E37A7C" w:rsidSect="004F5625">
      <w:pgSz w:w="12240" w:h="15840" w:orient="portrait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9C18"/>
    <w:multiLevelType w:val="hybridMultilevel"/>
    <w:tmpl w:val="FFFFFFFF"/>
    <w:lvl w:ilvl="0" w:tplc="6BAC20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4EDF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603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F062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5CC5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C4EF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D2FA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B07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E0A9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DC754F"/>
    <w:multiLevelType w:val="hybridMultilevel"/>
    <w:tmpl w:val="FFFFFFFF"/>
    <w:lvl w:ilvl="0" w:tplc="A508C5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5CE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F8E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60A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D27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FC5F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3665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3E34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1AA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4750363">
    <w:abstractNumId w:val="1"/>
  </w:num>
  <w:num w:numId="2" w16cid:durableId="172282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25"/>
    <w:rsid w:val="001C20EA"/>
    <w:rsid w:val="003A02D5"/>
    <w:rsid w:val="003D1D0C"/>
    <w:rsid w:val="004F5625"/>
    <w:rsid w:val="00543825"/>
    <w:rsid w:val="0071167C"/>
    <w:rsid w:val="00745842"/>
    <w:rsid w:val="008012D3"/>
    <w:rsid w:val="00836F00"/>
    <w:rsid w:val="00863826"/>
    <w:rsid w:val="009B46EF"/>
    <w:rsid w:val="00B74158"/>
    <w:rsid w:val="00C21DC7"/>
    <w:rsid w:val="00C63517"/>
    <w:rsid w:val="00CF68BE"/>
    <w:rsid w:val="00E37A7C"/>
    <w:rsid w:val="00EA2B70"/>
    <w:rsid w:val="00F710CA"/>
    <w:rsid w:val="00F94B2F"/>
    <w:rsid w:val="01DAEE4C"/>
    <w:rsid w:val="03B737C2"/>
    <w:rsid w:val="03C78CE4"/>
    <w:rsid w:val="08EF3112"/>
    <w:rsid w:val="0B7FE7B3"/>
    <w:rsid w:val="0B85A22F"/>
    <w:rsid w:val="12629810"/>
    <w:rsid w:val="143EBA62"/>
    <w:rsid w:val="14677EE9"/>
    <w:rsid w:val="16028014"/>
    <w:rsid w:val="19839E8C"/>
    <w:rsid w:val="1B9579B7"/>
    <w:rsid w:val="1C41EF0A"/>
    <w:rsid w:val="1E03471C"/>
    <w:rsid w:val="1E60A576"/>
    <w:rsid w:val="2032511A"/>
    <w:rsid w:val="211D9029"/>
    <w:rsid w:val="25192151"/>
    <w:rsid w:val="27F54FCB"/>
    <w:rsid w:val="2AE6AA59"/>
    <w:rsid w:val="303AEEB9"/>
    <w:rsid w:val="31119E75"/>
    <w:rsid w:val="33365774"/>
    <w:rsid w:val="3377B3F0"/>
    <w:rsid w:val="3434E0E0"/>
    <w:rsid w:val="34AC6E22"/>
    <w:rsid w:val="38DA4E66"/>
    <w:rsid w:val="3D90BD78"/>
    <w:rsid w:val="3F3D9C87"/>
    <w:rsid w:val="40A661E6"/>
    <w:rsid w:val="43DD9B5E"/>
    <w:rsid w:val="4443A684"/>
    <w:rsid w:val="444F009B"/>
    <w:rsid w:val="48286B8F"/>
    <w:rsid w:val="48EC9154"/>
    <w:rsid w:val="4E0F5496"/>
    <w:rsid w:val="4FAB24F7"/>
    <w:rsid w:val="512410C2"/>
    <w:rsid w:val="51BE51B7"/>
    <w:rsid w:val="51D19582"/>
    <w:rsid w:val="51F71B51"/>
    <w:rsid w:val="5827356A"/>
    <w:rsid w:val="5A8E4FAC"/>
    <w:rsid w:val="5C0FF9D4"/>
    <w:rsid w:val="5D609B11"/>
    <w:rsid w:val="5D75A14A"/>
    <w:rsid w:val="5D82BD51"/>
    <w:rsid w:val="5EF7D90B"/>
    <w:rsid w:val="5FC93647"/>
    <w:rsid w:val="5FD0807D"/>
    <w:rsid w:val="601B8C1B"/>
    <w:rsid w:val="65FAA419"/>
    <w:rsid w:val="72F4D268"/>
    <w:rsid w:val="73C2CD09"/>
    <w:rsid w:val="77A3603D"/>
    <w:rsid w:val="78722E63"/>
    <w:rsid w:val="7A7E3529"/>
    <w:rsid w:val="7A982C17"/>
    <w:rsid w:val="7BBA4B2E"/>
    <w:rsid w:val="7D40A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4F41"/>
  <w15:chartTrackingRefBased/>
  <w15:docId w15:val="{41F370D6-356D-4A03-BD43-246B8EE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5625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62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www.cfh.edu.mx/blog/que-es-el-modelo-constructivista-secundaria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blog.up.edu.mx/prepaup/principios-pedagogicos-del-nuevo-modelo-educativo" TargetMode="External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redalyc.org/pdf/373/37319199005.pdf" TargetMode="External" Id="rId9" /><Relationship Type="http://schemas.openxmlformats.org/officeDocument/2006/relationships/hyperlink" Target="https://core.ac.uk/download/pdf/148622351.pdf" TargetMode="External" Id="Raa3e4cacac2c474f" /><Relationship Type="http://schemas.openxmlformats.org/officeDocument/2006/relationships/hyperlink" Target="https://core.ac.uk/download/pdf/148622351.pdf" TargetMode="External" Id="R49faeb99d1f043a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enep</dc:creator>
  <keywords/>
  <dc:description/>
  <lastModifiedBy>CAROLINA ELIZABETH MARTINEZ GONZALEZ</lastModifiedBy>
  <revision>7</revision>
  <dcterms:created xsi:type="dcterms:W3CDTF">2023-06-20T02:25:00.0000000Z</dcterms:created>
  <dcterms:modified xsi:type="dcterms:W3CDTF">2023-06-20T05:12:53.7911732Z</dcterms:modified>
</coreProperties>
</file>