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FB53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20BC173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96426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" filled="f" fillcolor="#4472c4 [3204]" stroked="f" strokecolor="black [3213]">
                <v:shadow color="#e7e6e6 [3214]"/>
                <v:textbox style="mso-fit-shape-to-text:t">
                  <w:txbxContent>
                    <w:p w14:paraId="78DADBBF" w14:textId="720BC173"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96426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sz w:val="18"/>
          <w:szCs w:val="18"/>
        </w:rPr>
        <w:t xml:space="preserve">  </w:t>
      </w:r>
    </w:p>
    <w:p w14:paraId="041E4EB7" w14:textId="0AF92D13" w:rsidR="00964268" w:rsidRPr="00356BD0" w:rsidRDefault="00356BD0" w:rsidP="00356BD0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964268" w:rsidRPr="00356BD0">
        <w:rPr>
          <w:rFonts w:cstheme="minorHAnsi"/>
          <w:b/>
          <w:sz w:val="18"/>
          <w:szCs w:val="18"/>
        </w:rPr>
        <w:t>EVIDENCIA DE LA UNIDAD</w:t>
      </w:r>
    </w:p>
    <w:p w14:paraId="3ECAC0E7" w14:textId="753E2374" w:rsidR="00964268" w:rsidRDefault="00356BD0" w:rsidP="005913A9">
      <w:pPr>
        <w:spacing w:after="0"/>
        <w:jc w:val="center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Unidad de aprendizaje: Formación, práctica, aprendizajes y desarrollo profesional</w:t>
      </w:r>
    </w:p>
    <w:p w14:paraId="640ABB8F" w14:textId="77777777" w:rsidR="00356BD0" w:rsidRPr="00356BD0" w:rsidRDefault="00356BD0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B4B9CE2" w14:textId="7777777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Detecta los procesos de aprendizaje de sus alumnos para favorecer su desarrollo cognitivo y socioemocional.</w:t>
      </w:r>
    </w:p>
    <w:p w14:paraId="4ECE7F97" w14:textId="63682D4E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Plantea las necesidades formativas de los alumnos de acuerdo con sus procesos de desarrollo y de aprendizaje, con base en los nuevos enfoques pedagógicos.</w:t>
      </w:r>
    </w:p>
    <w:p w14:paraId="63019680" w14:textId="48E9458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Establece relaciones entre los principios, conceptos disciplinarios y contenidos del plan y programas de estudio en función del logro de aprendizaje de sus alumnos, asegurando la coherencia y continuidad entre los distintos grados y niveles educativos.</w:t>
      </w:r>
    </w:p>
    <w:p w14:paraId="45E063E9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EF793C0" w14:textId="381CD9E8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Aplica el plan y programas de estudio para alcanzar los propósitos educativos y contribuir al pleno desenvolvimiento de las capacidades de sus alumnos.</w:t>
      </w:r>
    </w:p>
    <w:p w14:paraId="0AEC1222" w14:textId="4730455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metodologías pertinentes y actualizadas para promover el aprendizaje de los alumnos en los diferentes campos, áreas y ámbitos que propone el currículum, considerando los contextos y su desarrollo.</w:t>
      </w:r>
    </w:p>
    <w:p w14:paraId="1D804C9D" w14:textId="1BABFA7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Incorpora los recursos y medios didácticos idóneos para favorecer el aprendizaje de acuerdo con el conocimiento de los procesos de desarrollo cognitivo y socioemocional de los alumnos.</w:t>
      </w:r>
    </w:p>
    <w:p w14:paraId="2A0A820A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5E07E798" w14:textId="2FB4115A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estudio.</w:t>
      </w:r>
    </w:p>
    <w:p w14:paraId="704C93C6" w14:textId="221E8B3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diagnósticos de los intereses, motivaciones y necesidades formativas de los alumnos para organizar las actividades de aprendizaje, así como las adecuaciones curriculares y didácticas pertinentes.</w:t>
      </w:r>
    </w:p>
    <w:p w14:paraId="44CDFFCD" w14:textId="26C50CF2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Selecciona estrategias que favorecen el desarrollo intelectual, físico, social y emocional de los alumnos para procurar el logro de los aprendizajes.</w:t>
      </w:r>
    </w:p>
    <w:p w14:paraId="2DDB3277" w14:textId="20D5C27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Construye escenarios y experiencias de aprendizaje utilizando diversos recursos metodológicos y tecnológicos para favorecer la educación inclusiva.</w:t>
      </w:r>
    </w:p>
    <w:p w14:paraId="370D0674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D2BD4A6" w14:textId="22050E94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Emplea la evaluación para intervenir en los diferentes ámbitos y momentos de la tarea educativa para mejorar los aprendizajes de sus alumnos.</w:t>
      </w:r>
    </w:p>
    <w:p w14:paraId="2589C0D8" w14:textId="389B5880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Evalúa el aprendizaje de sus alumnos mediante la aplicación de distintas teorías, métodos e instrumentos considerando las áreas, campos y ámbitos de conocimiento, así como los saberes correspondientes al grado y nivel educativo.</w:t>
      </w:r>
    </w:p>
    <w:p w14:paraId="30B7DE75" w14:textId="36F3E461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propuestas para mejorar los resultados de su enseñanza y los aprendizajes de sus alumnos.</w:t>
      </w:r>
    </w:p>
    <w:p w14:paraId="1EDC0A52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18DE0CFE" w14:textId="11AFC31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Integra recursos de la investigación educativa para enriquecer su práctica profesional, expresando su interés por el conocimiento, la ciencia y la mejora de la educación.</w:t>
      </w:r>
    </w:p>
    <w:p w14:paraId="19A521A0" w14:textId="5FE4330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Emplea los medios tecnológicos y las fuentes de información científica disponibles para mantenerse actualizado respecto a los diversos campos de conocimiento que intervienen en su trabajo docente.</w:t>
      </w:r>
    </w:p>
    <w:p w14:paraId="5F1A6B6B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Usa los resultados de la investigación para profundizar en el conocimiento y los procesos de aprendizaje de sus alumnos.</w:t>
      </w:r>
    </w:p>
    <w:p w14:paraId="54E8AF91" w14:textId="45083A13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los recursos metodológicos y técnicos de la investigación para explicar, comprender situaciones educativas y mejorar su docencia.</w:t>
      </w:r>
    </w:p>
    <w:p w14:paraId="51D27036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7DA44269" w14:textId="67A8CD22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2194B633" w14:textId="2634F828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Orienta su actuación profesional con sentido ético-valoral y asume los diversos principios y reglas que aseguran una mejor convivencia institucional y social, en beneficio de los alumnos y de la comunidad escolar.</w:t>
      </w:r>
    </w:p>
    <w:p w14:paraId="611E8656" w14:textId="0E5A541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Previene y soluciona conflictos, así como situaciones emergentes con base en los derechos humanos, los principios derivados de la normatividad educativa y los valores propios de la profesión docente.</w:t>
      </w:r>
    </w:p>
    <w:p w14:paraId="6B1479D7" w14:textId="2764141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Decide las estrategias pedagógicas para minimizar o eliminar las barreras para el aprendizaje y la participación asegurando una educación inclusiva.</w:t>
      </w:r>
    </w:p>
    <w:p w14:paraId="7C92D54E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0B931CD4" w14:textId="023313FF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Colabora con la comunidad escolar, padres de familia, autoridades y docentes, en la toma de decisiones y en el desarrollo de alternativas de solución a problemáticas socioeducativas.</w:t>
      </w:r>
    </w:p>
    <w:p w14:paraId="25C59DE6" w14:textId="65B532CB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Diseña y aplica diferentes diagnósticos para identificar problemáticas que afectan el trabajo en la escuela y en el aula.</w:t>
      </w:r>
    </w:p>
    <w:p w14:paraId="2E684489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Distingue los factores y aspectos asociados a la gestión escolar que contribuyen a mejorar los aprendizajes y la calidad del servicio educativo.</w:t>
      </w:r>
    </w:p>
    <w:p w14:paraId="3041536D" w14:textId="6B261108" w:rsidR="00964268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Participa en procesos de evaluación institucional y utiliza sus resultados en la planeación y gestión escolar para mejorar la calidad de la educación que ofrece la institución.</w:t>
      </w:r>
    </w:p>
    <w:p w14:paraId="0A9095F7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2D2160E1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171E12A6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5463C980" w14:textId="68404012" w:rsidR="00356BD0" w:rsidRPr="0041120C" w:rsidRDefault="00327E74" w:rsidP="00356BD0">
      <w:pPr>
        <w:shd w:val="clear" w:color="auto" w:fill="FFFFFF"/>
        <w:spacing w:after="101" w:line="240" w:lineRule="auto"/>
        <w:rPr>
          <w:rFonts w:ascii="Times" w:eastAsia="Times New Roman" w:hAnsi="Times" w:cstheme="minorHAnsi"/>
          <w:b/>
          <w:bCs/>
          <w:color w:val="2F2F2F"/>
          <w:sz w:val="18"/>
          <w:szCs w:val="18"/>
          <w:lang w:eastAsia="es-MX"/>
        </w:rPr>
      </w:pPr>
      <w:r w:rsidRPr="0041120C">
        <w:rPr>
          <w:rFonts w:ascii="Times" w:eastAsia="Times New Roman" w:hAnsi="Times" w:cstheme="minorHAnsi"/>
          <w:b/>
          <w:bCs/>
          <w:color w:val="2F2F2F"/>
          <w:sz w:val="18"/>
          <w:szCs w:val="18"/>
          <w:lang w:eastAsia="es-MX"/>
        </w:rPr>
        <w:lastRenderedPageBreak/>
        <w:t>Realiza un cuadro de doble entrada en donde analices los distintos elementos que incluían los  formatos que utilizaste para la elaboración de tu plan de clase.</w:t>
      </w:r>
    </w:p>
    <w:p w14:paraId="4F652D4A" w14:textId="59EE7A92" w:rsidR="00327E74" w:rsidRPr="00204DF4" w:rsidRDefault="0034254A" w:rsidP="00204DF4">
      <w:pPr>
        <w:shd w:val="clear" w:color="auto" w:fill="FFFFFF"/>
        <w:spacing w:after="101" w:line="240" w:lineRule="auto"/>
        <w:jc w:val="center"/>
        <w:rPr>
          <w:rFonts w:ascii="Times" w:eastAsia="Times New Roman" w:hAnsi="Times" w:cstheme="minorHAnsi"/>
          <w:b/>
          <w:bCs/>
          <w:color w:val="2F2F2F"/>
          <w:sz w:val="21"/>
          <w:szCs w:val="21"/>
          <w:lang w:eastAsia="es-MX"/>
        </w:rPr>
      </w:pPr>
      <w:r w:rsidRPr="00204DF4">
        <w:rPr>
          <w:rFonts w:ascii="Times" w:eastAsia="Times New Roman" w:hAnsi="Times" w:cstheme="minorHAnsi"/>
          <w:b/>
          <w:bCs/>
          <w:color w:val="2F2F2F"/>
          <w:sz w:val="21"/>
          <w:szCs w:val="21"/>
          <w:lang w:eastAsia="es-MX"/>
        </w:rPr>
        <w:t xml:space="preserve">Mariana Gutiérrez Morales </w:t>
      </w:r>
      <w:r w:rsidR="00204DF4" w:rsidRPr="00204DF4">
        <w:rPr>
          <w:rFonts w:ascii="Times" w:eastAsia="Times New Roman" w:hAnsi="Times" w:cstheme="minorHAnsi"/>
          <w:b/>
          <w:bCs/>
          <w:color w:val="2F2F2F"/>
          <w:sz w:val="21"/>
          <w:szCs w:val="21"/>
          <w:lang w:eastAsia="es-MX"/>
        </w:rPr>
        <w:t>–</w:t>
      </w:r>
      <w:r w:rsidRPr="00204DF4">
        <w:rPr>
          <w:rFonts w:ascii="Times" w:eastAsia="Times New Roman" w:hAnsi="Times" w:cstheme="minorHAnsi"/>
          <w:b/>
          <w:bCs/>
          <w:color w:val="2F2F2F"/>
          <w:sz w:val="21"/>
          <w:szCs w:val="21"/>
          <w:lang w:eastAsia="es-MX"/>
        </w:rPr>
        <w:t xml:space="preserve"> </w:t>
      </w:r>
      <w:r w:rsidR="00204DF4" w:rsidRPr="00204DF4">
        <w:rPr>
          <w:rFonts w:ascii="Times" w:eastAsia="Times New Roman" w:hAnsi="Times" w:cstheme="minorHAnsi"/>
          <w:b/>
          <w:bCs/>
          <w:color w:val="2F2F2F"/>
          <w:sz w:val="21"/>
          <w:szCs w:val="21"/>
          <w:lang w:eastAsia="es-MX"/>
        </w:rPr>
        <w:t>8vo “B” – 19/06/2023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416"/>
      </w:tblGrid>
      <w:tr w:rsidR="00327E74" w:rsidRPr="000E12F1" w14:paraId="6D376AF2" w14:textId="77777777" w:rsidTr="00327E74">
        <w:tc>
          <w:tcPr>
            <w:tcW w:w="1980" w:type="dxa"/>
          </w:tcPr>
          <w:p w14:paraId="02B42D17" w14:textId="77777777" w:rsidR="00327E74" w:rsidRPr="000E12F1" w:rsidRDefault="00327E74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</w:tcPr>
          <w:p w14:paraId="55328A98" w14:textId="545D6DB6" w:rsidR="00327E74" w:rsidRPr="000E12F1" w:rsidRDefault="00327E74" w:rsidP="00327E74">
            <w:pPr>
              <w:spacing w:after="101"/>
              <w:jc w:val="center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FORMATO ENEP</w:t>
            </w:r>
          </w:p>
        </w:tc>
        <w:tc>
          <w:tcPr>
            <w:tcW w:w="4416" w:type="dxa"/>
          </w:tcPr>
          <w:p w14:paraId="0EFBCEC1" w14:textId="6FC98053" w:rsidR="00327E74" w:rsidRPr="000E12F1" w:rsidRDefault="00327E74" w:rsidP="00327E74">
            <w:pPr>
              <w:spacing w:after="101"/>
              <w:jc w:val="center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FORMATO DEL PROFESOR TITULAR</w:t>
            </w:r>
          </w:p>
        </w:tc>
      </w:tr>
      <w:tr w:rsidR="00327E74" w:rsidRPr="000E12F1" w14:paraId="1413B093" w14:textId="77777777" w:rsidTr="00327E74">
        <w:tc>
          <w:tcPr>
            <w:tcW w:w="1980" w:type="dxa"/>
          </w:tcPr>
          <w:p w14:paraId="09AB02AF" w14:textId="77777777" w:rsidR="00327E74" w:rsidRPr="000E12F1" w:rsidRDefault="00327E74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Portada</w:t>
            </w:r>
          </w:p>
          <w:p w14:paraId="020EC5E5" w14:textId="79EFC095" w:rsidR="00087A5C" w:rsidRPr="000E12F1" w:rsidRDefault="00087A5C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0BCA9EF6" w14:textId="20075292" w:rsidR="00327E74" w:rsidRPr="000E12F1" w:rsidRDefault="000E12F1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Contiene datos técnicos sobre la Escuela Normal que son más relevantes para la normalista y la docente de práctica,</w:t>
            </w:r>
            <w:r w:rsidR="00FE6B0D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 puesto que lleva el escudo, nombre de la practicante, fecha, grado, número de alumnos y competencia profesional. </w:t>
            </w: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 </w:t>
            </w:r>
            <w:r w:rsidR="00FE6B0D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R</w:t>
            </w: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ecomendaría reducir el espacio para no utilizar más de una hoja en datos de este tipo. </w:t>
            </w:r>
          </w:p>
        </w:tc>
        <w:tc>
          <w:tcPr>
            <w:tcW w:w="4416" w:type="dxa"/>
          </w:tcPr>
          <w:p w14:paraId="774102C1" w14:textId="63159201" w:rsidR="00327E74" w:rsidRPr="000E12F1" w:rsidRDefault="000E12F1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Su contenido está enfocado a los datos del plan de clase e incluye datos como el propósito de este, el nombre de la situación didáctica, </w:t>
            </w: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duración, aprendizajes esperados con sus organizadores curriculares correspondientes, fechas conmemorativas, actividades permanentes y tipo de evaluación. Recomendaría añadir grupo </w:t>
            </w:r>
            <w:r w:rsidR="00FE6B0D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hacia el que están dirigidas las actividades.</w:t>
            </w:r>
          </w:p>
        </w:tc>
      </w:tr>
      <w:tr w:rsidR="00327E74" w:rsidRPr="000E12F1" w14:paraId="3784D6CA" w14:textId="77777777" w:rsidTr="00327E74">
        <w:tc>
          <w:tcPr>
            <w:tcW w:w="1980" w:type="dxa"/>
          </w:tcPr>
          <w:p w14:paraId="38CF315F" w14:textId="77777777" w:rsidR="00327E74" w:rsidRPr="000E12F1" w:rsidRDefault="00327E74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Cronograma</w:t>
            </w:r>
          </w:p>
          <w:p w14:paraId="5269B584" w14:textId="1C489F2B" w:rsidR="00087A5C" w:rsidRPr="000E12F1" w:rsidRDefault="00087A5C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3C65790C" w14:textId="7494E83A" w:rsidR="00327E74" w:rsidRPr="000E12F1" w:rsidRDefault="00FE6B0D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Debido al horario que se maneja y las clases extracurriculares puede ser algo confuso, considero que su utilidad está en verificar cuáles serán las actividades a realizar durante el día y asegurarse de tener el material necesaria para cada una.</w:t>
            </w:r>
            <w:r w:rsidR="00A44629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 Es difícil asegurarse de que el tiempo establecido sea el necesario para cada actividad</w:t>
            </w:r>
          </w:p>
        </w:tc>
        <w:tc>
          <w:tcPr>
            <w:tcW w:w="4416" w:type="dxa"/>
          </w:tcPr>
          <w:p w14:paraId="1BE19103" w14:textId="5567EA03" w:rsidR="00327E74" w:rsidRPr="000E12F1" w:rsidRDefault="00FE6B0D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Mi profesora titular no utiliza cronogramas en su planeación, en lo personal dejé de utilizarlos a partir del mes de abril por que me di cuenta que nos los re-visitiba nuevamente durante </w:t>
            </w:r>
            <w:r w:rsidR="00A44629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la jornada de práctica. </w:t>
            </w:r>
          </w:p>
        </w:tc>
      </w:tr>
      <w:tr w:rsidR="00327E74" w:rsidRPr="000E12F1" w14:paraId="54888BF1" w14:textId="77777777" w:rsidTr="00327E74">
        <w:tc>
          <w:tcPr>
            <w:tcW w:w="1980" w:type="dxa"/>
          </w:tcPr>
          <w:p w14:paraId="4516C7A7" w14:textId="77777777" w:rsidR="00327E74" w:rsidRPr="000E12F1" w:rsidRDefault="00327E74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Inicio de la situación</w:t>
            </w:r>
          </w:p>
          <w:p w14:paraId="7E30CDC8" w14:textId="15F61DCC" w:rsidR="00087A5C" w:rsidRPr="000E12F1" w:rsidRDefault="00087A5C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31538005" w14:textId="4696D00D" w:rsidR="00327E74" w:rsidRPr="000E12F1" w:rsidRDefault="00B16678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Se maneja de manera diaria y representa el comienzo </w:t>
            </w:r>
            <w:r w:rsidR="0036470A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del día, usualmente, la sección de inicio contiene las actividades permanentes así como aquellas para comenzar bien el día y las preguntas para corroborar saberes previos. Es un período corto.</w:t>
            </w:r>
          </w:p>
        </w:tc>
        <w:tc>
          <w:tcPr>
            <w:tcW w:w="4416" w:type="dxa"/>
          </w:tcPr>
          <w:p w14:paraId="6B631E26" w14:textId="3F2BACCB" w:rsidR="00327E74" w:rsidRPr="000E12F1" w:rsidRDefault="0036470A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Se maneja de forma semanal o quincenal, dependiendo de la situación didáctica, representa el comienzo de la situación didáctica como por ejemplo saberes previos y algunas actividades de introducción al tema. </w:t>
            </w:r>
          </w:p>
        </w:tc>
      </w:tr>
      <w:tr w:rsidR="00327E74" w:rsidRPr="000E12F1" w14:paraId="25B26454" w14:textId="77777777" w:rsidTr="00327E74">
        <w:tc>
          <w:tcPr>
            <w:tcW w:w="1980" w:type="dxa"/>
          </w:tcPr>
          <w:p w14:paraId="7DE3FDF3" w14:textId="77777777" w:rsidR="00327E74" w:rsidRPr="000E12F1" w:rsidRDefault="00327E74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Desarrollo de la situación</w:t>
            </w:r>
          </w:p>
          <w:p w14:paraId="156D8B5F" w14:textId="2E925009" w:rsidR="00087A5C" w:rsidRPr="000E12F1" w:rsidRDefault="00087A5C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68887CA" w14:textId="22F60D35" w:rsidR="00327E74" w:rsidRPr="000E12F1" w:rsidRDefault="0036470A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Se maneja de manera diaria, representa la mitad de la jornada, en esta parte del día usualmente se realizan las actividades más siginificativas para el logro de los aprendizajes esperados. </w:t>
            </w:r>
          </w:p>
        </w:tc>
        <w:tc>
          <w:tcPr>
            <w:tcW w:w="4416" w:type="dxa"/>
          </w:tcPr>
          <w:p w14:paraId="5ECE26C6" w14:textId="4581B1D6" w:rsidR="00327E74" w:rsidRPr="000E12F1" w:rsidRDefault="0036470A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Se maneja de forma semanal o quincenal, representa el desarrollo de la situación didácticas, incluye las actividades que serán más significativas para el logro de los aprendizajes esperadas, es el período más largo y consistente. </w:t>
            </w:r>
          </w:p>
        </w:tc>
      </w:tr>
      <w:tr w:rsidR="00327E74" w:rsidRPr="000E12F1" w14:paraId="3298E214" w14:textId="77777777" w:rsidTr="00327E74">
        <w:tc>
          <w:tcPr>
            <w:tcW w:w="1980" w:type="dxa"/>
          </w:tcPr>
          <w:p w14:paraId="4D7AC059" w14:textId="77777777" w:rsidR="00327E74" w:rsidRPr="000E12F1" w:rsidRDefault="00327E74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Cierre de la situación</w:t>
            </w:r>
          </w:p>
          <w:p w14:paraId="47BFC1A8" w14:textId="7931F590" w:rsidR="00087A5C" w:rsidRPr="000E12F1" w:rsidRDefault="00087A5C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2752D63" w14:textId="6FDC7A8F" w:rsidR="00327E74" w:rsidRPr="000E12F1" w:rsidRDefault="0036470A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Se maneja de manera diaria, representa el fin de la jornada, durante este período usualmente se realiza alguna actividad corta para corroborar los aprendizajes del día y obtener la opinión de los alumnos respecto a lo realizado. </w:t>
            </w:r>
          </w:p>
        </w:tc>
        <w:tc>
          <w:tcPr>
            <w:tcW w:w="4416" w:type="dxa"/>
          </w:tcPr>
          <w:p w14:paraId="045B0343" w14:textId="311C2EF6" w:rsidR="00327E74" w:rsidRPr="000E12F1" w:rsidRDefault="0036470A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Se maneja de forma semanal o quincenal, represente la conclusión de la sitación didáctica, incluye algunas actividades para corroborar los aprendizajes y </w:t>
            </w:r>
            <w:r w:rsidR="00B0002E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realizar una evaluación de conocimientos adquiridos. </w:t>
            </w:r>
          </w:p>
        </w:tc>
      </w:tr>
      <w:tr w:rsidR="00327E74" w:rsidRPr="000E12F1" w14:paraId="1C8F0CA5" w14:textId="77777777" w:rsidTr="00327E74">
        <w:tc>
          <w:tcPr>
            <w:tcW w:w="1980" w:type="dxa"/>
          </w:tcPr>
          <w:p w14:paraId="6CFC63B2" w14:textId="77777777" w:rsidR="00327E74" w:rsidRPr="000E12F1" w:rsidRDefault="00327E74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Evaluación de las actividades aplicadas</w:t>
            </w:r>
          </w:p>
          <w:p w14:paraId="2E25F0B5" w14:textId="29899ACD" w:rsidR="00087A5C" w:rsidRPr="000E12F1" w:rsidRDefault="00087A5C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09028A0" w14:textId="77EB490F" w:rsidR="00327E74" w:rsidRPr="000E12F1" w:rsidRDefault="00D47E51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Uso de listas de cotejo.</w:t>
            </w:r>
          </w:p>
        </w:tc>
        <w:tc>
          <w:tcPr>
            <w:tcW w:w="4416" w:type="dxa"/>
          </w:tcPr>
          <w:p w14:paraId="35731F93" w14:textId="149452AD" w:rsidR="00327E74" w:rsidRPr="000E12F1" w:rsidRDefault="00D47E51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Uso de rúbrica analítica y guías de observación. </w:t>
            </w:r>
          </w:p>
        </w:tc>
      </w:tr>
      <w:tr w:rsidR="00327E74" w:rsidRPr="000E12F1" w14:paraId="5038C51B" w14:textId="77777777" w:rsidTr="00327E74">
        <w:tc>
          <w:tcPr>
            <w:tcW w:w="1980" w:type="dxa"/>
          </w:tcPr>
          <w:p w14:paraId="3FC4CC65" w14:textId="77777777" w:rsidR="00327E74" w:rsidRPr="000E12F1" w:rsidRDefault="00327E74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Qué elementos menciona y cuáles crees que son necesarios/innecesarios</w:t>
            </w:r>
          </w:p>
          <w:p w14:paraId="36E4C466" w14:textId="7BE21DFF" w:rsidR="00087A5C" w:rsidRPr="000E12F1" w:rsidRDefault="00087A5C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610845B1" w14:textId="77777777" w:rsidR="00327E74" w:rsidRDefault="00D47E51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Necesarios: Portada, Inicio desarrollo y cierre de la situación didáctica, evaluación de las actividades.</w:t>
            </w:r>
          </w:p>
          <w:p w14:paraId="014F4836" w14:textId="4475CE16" w:rsidR="00D47E51" w:rsidRPr="000E12F1" w:rsidRDefault="00D47E51" w:rsidP="00356BD0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Inncesario: Cronograma. </w:t>
            </w:r>
          </w:p>
        </w:tc>
        <w:tc>
          <w:tcPr>
            <w:tcW w:w="4416" w:type="dxa"/>
          </w:tcPr>
          <w:p w14:paraId="45F54F9C" w14:textId="77777777" w:rsidR="00D47E5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Necesarios: Portada, Inicio desarrollo y cierre de la situación didáctica, evaluación de las actividades.</w:t>
            </w:r>
          </w:p>
          <w:p w14:paraId="5991FA36" w14:textId="6EFBE45E" w:rsidR="00327E74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Inncesario: Cronograma.</w:t>
            </w:r>
          </w:p>
        </w:tc>
      </w:tr>
      <w:tr w:rsidR="00D47E51" w:rsidRPr="000E12F1" w14:paraId="55D40C1E" w14:textId="77777777" w:rsidTr="00327E74">
        <w:tc>
          <w:tcPr>
            <w:tcW w:w="1980" w:type="dxa"/>
          </w:tcPr>
          <w:p w14:paraId="6E0269BF" w14:textId="77777777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Ventajas</w:t>
            </w:r>
          </w:p>
          <w:p w14:paraId="616A8F39" w14:textId="6D9FB4ED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0056EA0" w14:textId="28AAB405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Comprensible para cualquier persona incluso sí no está familiarizado con el ámbito eduacional. </w:t>
            </w:r>
          </w:p>
        </w:tc>
        <w:tc>
          <w:tcPr>
            <w:tcW w:w="4416" w:type="dxa"/>
          </w:tcPr>
          <w:p w14:paraId="7B71BFB2" w14:textId="2F97677D" w:rsidR="00D47E51" w:rsidRPr="000E12F1" w:rsidRDefault="00902250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Es concreta y precisa con la información necesaria. </w:t>
            </w:r>
          </w:p>
        </w:tc>
      </w:tr>
      <w:tr w:rsidR="00D47E51" w:rsidRPr="000E12F1" w14:paraId="61B76E02" w14:textId="77777777" w:rsidTr="00327E74">
        <w:tc>
          <w:tcPr>
            <w:tcW w:w="1980" w:type="dxa"/>
          </w:tcPr>
          <w:p w14:paraId="749BAF19" w14:textId="77777777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Desventajas</w:t>
            </w:r>
          </w:p>
          <w:p w14:paraId="0DA06121" w14:textId="139943D4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CBADF3E" w14:textId="1C27E37C" w:rsidR="00D47E51" w:rsidRPr="000E12F1" w:rsidRDefault="00902250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Su extensión es larga.</w:t>
            </w:r>
          </w:p>
        </w:tc>
        <w:tc>
          <w:tcPr>
            <w:tcW w:w="4416" w:type="dxa"/>
          </w:tcPr>
          <w:p w14:paraId="08132678" w14:textId="59F08E96" w:rsidR="00D47E51" w:rsidRPr="000E12F1" w:rsidRDefault="00902250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Comprensible para personas familiarizadas con el ámbito eduacional.</w:t>
            </w:r>
          </w:p>
        </w:tc>
      </w:tr>
      <w:tr w:rsidR="00D47E51" w:rsidRPr="000E12F1" w14:paraId="58548C4E" w14:textId="77777777" w:rsidTr="00530802">
        <w:tc>
          <w:tcPr>
            <w:tcW w:w="1980" w:type="dxa"/>
          </w:tcPr>
          <w:p w14:paraId="195CF809" w14:textId="77777777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¿Cuál es la verdadera función de la planeación didáctica?</w:t>
            </w:r>
          </w:p>
          <w:p w14:paraId="46CAA7D6" w14:textId="67E7FE78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(2 punto)</w:t>
            </w:r>
          </w:p>
        </w:tc>
        <w:tc>
          <w:tcPr>
            <w:tcW w:w="8810" w:type="dxa"/>
            <w:gridSpan w:val="2"/>
          </w:tcPr>
          <w:p w14:paraId="72DB0B7C" w14:textId="796E1109" w:rsidR="00D47E51" w:rsidRPr="000E12F1" w:rsidRDefault="00902250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Representa una base para el docente que le permitirá llevar a cabo sus actividades de manera continua y sin tiempos muertos o innecesarios, es un documento que se debe poder revisitar durante la jornada de manera</w:t>
            </w:r>
            <w:r w:rsidR="0041120C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 xml:space="preserve"> rápida y comprensible.</w:t>
            </w:r>
          </w:p>
        </w:tc>
      </w:tr>
      <w:tr w:rsidR="00D47E51" w:rsidRPr="000E12F1" w14:paraId="3B0335AD" w14:textId="77777777" w:rsidTr="00530802">
        <w:tc>
          <w:tcPr>
            <w:tcW w:w="1980" w:type="dxa"/>
          </w:tcPr>
          <w:p w14:paraId="68FCB05D" w14:textId="45689606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  <w:r w:rsidRPr="000E12F1"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8810" w:type="dxa"/>
            <w:gridSpan w:val="2"/>
          </w:tcPr>
          <w:p w14:paraId="4106C011" w14:textId="77777777" w:rsidR="00D47E51" w:rsidRPr="000E12F1" w:rsidRDefault="00D47E51" w:rsidP="00D47E51">
            <w:pPr>
              <w:spacing w:after="101"/>
              <w:rPr>
                <w:rFonts w:ascii="Times" w:eastAsia="Times New Roman" w:hAnsi="Times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</w:tbl>
    <w:p w14:paraId="1E34F816" w14:textId="77777777" w:rsidR="00327E74" w:rsidRP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3CB1534E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3B83FAC7" w14:textId="77777777" w:rsidR="00080B4B" w:rsidRDefault="00080B4B" w:rsidP="00080B4B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Esta calificación esta promediada</w:t>
      </w:r>
    </w:p>
    <w:p w14:paraId="51386854" w14:textId="77777777" w:rsidR="00080B4B" w:rsidRDefault="00080B4B" w:rsidP="00080B4B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entrega a tiempo al profesor titular</w:t>
      </w:r>
    </w:p>
    <w:p w14:paraId="7C0735A7" w14:textId="77777777" w:rsidR="00080B4B" w:rsidRDefault="00080B4B" w:rsidP="00080B4B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9 revisión de planes en físico</w:t>
      </w:r>
    </w:p>
    <w:p w14:paraId="3BA25163" w14:textId="77777777" w:rsidR="00080B4B" w:rsidRDefault="00080B4B" w:rsidP="00080B4B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este trabajo</w:t>
      </w:r>
    </w:p>
    <w:p w14:paraId="5D191768" w14:textId="77777777" w:rsidR="00080B4B" w:rsidRDefault="00080B4B" w:rsidP="00080B4B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Promedio 9.6 = 10</w:t>
      </w:r>
    </w:p>
    <w:p w14:paraId="128E2478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FF32B81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A6AA10" w14:textId="77777777" w:rsidR="00327E74" w:rsidRDefault="00327E74" w:rsidP="0041120C">
      <w:pPr>
        <w:spacing w:after="0"/>
        <w:rPr>
          <w:rFonts w:cstheme="minorHAnsi"/>
          <w:b/>
          <w:sz w:val="18"/>
          <w:szCs w:val="18"/>
        </w:rPr>
      </w:pPr>
    </w:p>
    <w:p w14:paraId="5866D509" w14:textId="77777777" w:rsidR="0041120C" w:rsidRDefault="0041120C" w:rsidP="0041120C">
      <w:pPr>
        <w:spacing w:after="0"/>
        <w:rPr>
          <w:rFonts w:cstheme="minorHAnsi"/>
          <w:b/>
          <w:sz w:val="18"/>
          <w:szCs w:val="18"/>
        </w:rPr>
      </w:pPr>
    </w:p>
    <w:p w14:paraId="1BE838A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8EE6065" w14:textId="07AEE83A" w:rsidR="00883B6D" w:rsidRDefault="00883B6D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sectPr w:rsidR="00883B6D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D334" w14:textId="77777777" w:rsidR="00625DE3" w:rsidRDefault="00625DE3" w:rsidP="000F0A4C">
      <w:pPr>
        <w:spacing w:after="0" w:line="240" w:lineRule="auto"/>
      </w:pPr>
      <w:r>
        <w:separator/>
      </w:r>
    </w:p>
  </w:endnote>
  <w:endnote w:type="continuationSeparator" w:id="0">
    <w:p w14:paraId="522C3E38" w14:textId="77777777" w:rsidR="00625DE3" w:rsidRDefault="00625DE3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4EFF" w14:textId="77777777" w:rsidR="00625DE3" w:rsidRDefault="00625DE3" w:rsidP="000F0A4C">
      <w:pPr>
        <w:spacing w:after="0" w:line="240" w:lineRule="auto"/>
      </w:pPr>
      <w:r>
        <w:separator/>
      </w:r>
    </w:p>
  </w:footnote>
  <w:footnote w:type="continuationSeparator" w:id="0">
    <w:p w14:paraId="11D04C35" w14:textId="77777777" w:rsidR="00625DE3" w:rsidRDefault="00625DE3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2D7C"/>
    <w:multiLevelType w:val="hybridMultilevel"/>
    <w:tmpl w:val="D2DCFDEA"/>
    <w:lvl w:ilvl="0" w:tplc="BEFC4066">
      <w:numFmt w:val="bullet"/>
      <w:lvlText w:val=""/>
      <w:lvlJc w:val="left"/>
      <w:pPr>
        <w:ind w:left="-72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 w16cid:durableId="178252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C"/>
    <w:rsid w:val="00014F2F"/>
    <w:rsid w:val="000213C3"/>
    <w:rsid w:val="00074C3D"/>
    <w:rsid w:val="00077C02"/>
    <w:rsid w:val="00080B4B"/>
    <w:rsid w:val="00087A5C"/>
    <w:rsid w:val="000C6759"/>
    <w:rsid w:val="000E12F1"/>
    <w:rsid w:val="000F0A4C"/>
    <w:rsid w:val="000F2CC2"/>
    <w:rsid w:val="0017046E"/>
    <w:rsid w:val="00204DF4"/>
    <w:rsid w:val="0022309F"/>
    <w:rsid w:val="0026481D"/>
    <w:rsid w:val="00305320"/>
    <w:rsid w:val="00327E74"/>
    <w:rsid w:val="0034254A"/>
    <w:rsid w:val="00356BD0"/>
    <w:rsid w:val="0036470A"/>
    <w:rsid w:val="00373FD4"/>
    <w:rsid w:val="003D73F3"/>
    <w:rsid w:val="0041120C"/>
    <w:rsid w:val="004C29DC"/>
    <w:rsid w:val="005317AB"/>
    <w:rsid w:val="00545242"/>
    <w:rsid w:val="005913A9"/>
    <w:rsid w:val="00612677"/>
    <w:rsid w:val="00615F3A"/>
    <w:rsid w:val="00625DE3"/>
    <w:rsid w:val="0064096C"/>
    <w:rsid w:val="00703907"/>
    <w:rsid w:val="008469FE"/>
    <w:rsid w:val="00873524"/>
    <w:rsid w:val="00876A9F"/>
    <w:rsid w:val="00883B6D"/>
    <w:rsid w:val="00902250"/>
    <w:rsid w:val="00915401"/>
    <w:rsid w:val="00964268"/>
    <w:rsid w:val="00A44629"/>
    <w:rsid w:val="00AE55ED"/>
    <w:rsid w:val="00B0002E"/>
    <w:rsid w:val="00B16678"/>
    <w:rsid w:val="00BE6DC1"/>
    <w:rsid w:val="00C44FF4"/>
    <w:rsid w:val="00CC5173"/>
    <w:rsid w:val="00D47E51"/>
    <w:rsid w:val="00E10E2A"/>
    <w:rsid w:val="00E43AAE"/>
    <w:rsid w:val="00E54ABB"/>
    <w:rsid w:val="00E64CAB"/>
    <w:rsid w:val="00FE6B0D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2</cp:revision>
  <dcterms:created xsi:type="dcterms:W3CDTF">2023-06-22T03:01:00Z</dcterms:created>
  <dcterms:modified xsi:type="dcterms:W3CDTF">2023-06-22T03:01:00Z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