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5" w:themeTint="33"/>
  <w:body>
    <w:p w14:paraId="56DAA61C" w14:textId="77777777" w:rsidR="00E84BFF" w:rsidRPr="006A56C8" w:rsidRDefault="00E84BFF" w:rsidP="00E84BFF">
      <w:pPr>
        <w:jc w:val="center"/>
        <w:rPr>
          <w:rFonts w:ascii="Century Gothic" w:hAnsi="Century Gothic"/>
          <w:sz w:val="28"/>
          <w:szCs w:val="28"/>
        </w:rPr>
      </w:pPr>
      <w:r w:rsidRPr="006A56C8">
        <w:rPr>
          <w:rFonts w:ascii="Century Gothic" w:hAnsi="Century Gothic"/>
          <w:sz w:val="28"/>
          <w:szCs w:val="28"/>
        </w:rPr>
        <w:t>ESCUELA NORMAL DE EDUCACION PREESCOLAR</w:t>
      </w:r>
    </w:p>
    <w:p w14:paraId="1D2365C7" w14:textId="77777777" w:rsidR="00E84BFF" w:rsidRPr="006A56C8" w:rsidRDefault="00E84BFF" w:rsidP="00E84BFF">
      <w:pPr>
        <w:jc w:val="center"/>
        <w:rPr>
          <w:rFonts w:ascii="Century Gothic" w:hAnsi="Century Gothic"/>
          <w:sz w:val="28"/>
          <w:szCs w:val="28"/>
        </w:rPr>
      </w:pPr>
      <w:r w:rsidRPr="006A56C8">
        <w:rPr>
          <w:rFonts w:ascii="Century Gothic" w:hAnsi="Century Gothic"/>
          <w:noProof/>
          <w:sz w:val="28"/>
          <w:szCs w:val="28"/>
        </w:rPr>
        <w:drawing>
          <wp:anchor distT="0" distB="0" distL="114300" distR="114300" simplePos="0" relativeHeight="251659264" behindDoc="0" locked="0" layoutInCell="1" allowOverlap="1" wp14:anchorId="3F0967D9" wp14:editId="66E1C34D">
            <wp:simplePos x="0" y="0"/>
            <wp:positionH relativeFrom="margin">
              <wp:align>center</wp:align>
            </wp:positionH>
            <wp:positionV relativeFrom="paragraph">
              <wp:posOffset>101600</wp:posOffset>
            </wp:positionV>
            <wp:extent cx="1487805" cy="19265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1926590"/>
                    </a:xfrm>
                    <a:prstGeom prst="rect">
                      <a:avLst/>
                    </a:prstGeom>
                    <a:noFill/>
                  </pic:spPr>
                </pic:pic>
              </a:graphicData>
            </a:graphic>
          </wp:anchor>
        </w:drawing>
      </w:r>
    </w:p>
    <w:p w14:paraId="72044274" w14:textId="77777777" w:rsidR="00E84BFF" w:rsidRPr="006A56C8" w:rsidRDefault="00E84BFF" w:rsidP="00E84BFF">
      <w:pPr>
        <w:jc w:val="center"/>
        <w:rPr>
          <w:rFonts w:ascii="Century Gothic" w:hAnsi="Century Gothic"/>
          <w:sz w:val="28"/>
          <w:szCs w:val="28"/>
        </w:rPr>
      </w:pPr>
    </w:p>
    <w:p w14:paraId="28766111" w14:textId="77777777" w:rsidR="00E84BFF" w:rsidRPr="006A56C8" w:rsidRDefault="00E84BFF" w:rsidP="00E84BFF">
      <w:pPr>
        <w:jc w:val="center"/>
        <w:rPr>
          <w:rFonts w:ascii="Century Gothic" w:hAnsi="Century Gothic"/>
          <w:sz w:val="28"/>
          <w:szCs w:val="28"/>
        </w:rPr>
      </w:pPr>
    </w:p>
    <w:p w14:paraId="607685A4" w14:textId="77777777" w:rsidR="00E84BFF" w:rsidRPr="006A56C8" w:rsidRDefault="00E84BFF" w:rsidP="00E84BFF">
      <w:pPr>
        <w:jc w:val="center"/>
        <w:rPr>
          <w:rFonts w:ascii="Century Gothic" w:hAnsi="Century Gothic"/>
          <w:sz w:val="28"/>
          <w:szCs w:val="28"/>
        </w:rPr>
      </w:pPr>
    </w:p>
    <w:p w14:paraId="3DF1D4D2" w14:textId="77777777" w:rsidR="00E84BFF" w:rsidRPr="006A56C8" w:rsidRDefault="00E84BFF" w:rsidP="00E84BFF">
      <w:pPr>
        <w:jc w:val="center"/>
        <w:rPr>
          <w:rFonts w:ascii="Century Gothic" w:hAnsi="Century Gothic"/>
          <w:sz w:val="28"/>
          <w:szCs w:val="28"/>
        </w:rPr>
      </w:pPr>
    </w:p>
    <w:p w14:paraId="017E59E1" w14:textId="77777777" w:rsidR="00E84BFF" w:rsidRPr="006A56C8" w:rsidRDefault="00E84BFF" w:rsidP="00E84BFF">
      <w:pPr>
        <w:jc w:val="center"/>
        <w:rPr>
          <w:rFonts w:ascii="Century Gothic" w:hAnsi="Century Gothic"/>
          <w:sz w:val="28"/>
          <w:szCs w:val="28"/>
        </w:rPr>
      </w:pPr>
    </w:p>
    <w:p w14:paraId="674ABB31" w14:textId="77777777" w:rsidR="00E84BFF" w:rsidRPr="006A56C8" w:rsidRDefault="00E84BFF" w:rsidP="00E84BFF">
      <w:pPr>
        <w:jc w:val="center"/>
        <w:rPr>
          <w:rFonts w:ascii="Century Gothic" w:hAnsi="Century Gothic"/>
          <w:sz w:val="28"/>
          <w:szCs w:val="28"/>
        </w:rPr>
      </w:pPr>
    </w:p>
    <w:p w14:paraId="38FC3852" w14:textId="7E0E4825" w:rsidR="00E84BFF" w:rsidRPr="006A56C8" w:rsidRDefault="00E84BFF" w:rsidP="00E84BFF">
      <w:pPr>
        <w:jc w:val="center"/>
        <w:rPr>
          <w:rFonts w:ascii="Century Gothic" w:hAnsi="Century Gothic"/>
          <w:sz w:val="28"/>
          <w:szCs w:val="28"/>
        </w:rPr>
      </w:pPr>
      <w:r w:rsidRPr="006A56C8">
        <w:rPr>
          <w:rFonts w:ascii="Century Gothic" w:hAnsi="Century Gothic"/>
          <w:sz w:val="28"/>
          <w:szCs w:val="28"/>
        </w:rPr>
        <w:t>LICENCIATURA EN EDUCACIÓN PREESCOLAR</w:t>
      </w:r>
    </w:p>
    <w:p w14:paraId="16D3A64B" w14:textId="565AE43D" w:rsidR="00E84BFF" w:rsidRPr="006A56C8" w:rsidRDefault="00CA4569" w:rsidP="00E84BFF">
      <w:pPr>
        <w:spacing w:after="0" w:line="240" w:lineRule="auto"/>
        <w:ind w:left="60"/>
        <w:jc w:val="center"/>
        <w:rPr>
          <w:rFonts w:ascii="Century Gothic" w:eastAsia="Times New Roman" w:hAnsi="Century Gothic" w:cs="Times New Roman"/>
          <w:color w:val="000000"/>
          <w:kern w:val="0"/>
          <w:sz w:val="28"/>
          <w:szCs w:val="28"/>
          <w:lang w:val="es-ES" w:eastAsia="es-ES"/>
          <w14:ligatures w14:val="none"/>
        </w:rPr>
      </w:pPr>
      <w:hyperlink r:id="rId8" w:history="1">
        <w:r w:rsidR="00E84BFF" w:rsidRPr="00E84BFF">
          <w:rPr>
            <w:rFonts w:ascii="Century Gothic" w:eastAsia="Times New Roman" w:hAnsi="Century Gothic" w:cs="Times New Roman"/>
            <w:b/>
            <w:bCs/>
            <w:color w:val="000000"/>
            <w:kern w:val="0"/>
            <w:sz w:val="28"/>
            <w:szCs w:val="28"/>
            <w:u w:val="single"/>
            <w:lang w:val="es-ES" w:eastAsia="es-ES"/>
            <w14:ligatures w14:val="none"/>
          </w:rPr>
          <w:br/>
          <w:t>MODELOS PEDAGÓGICOS</w:t>
        </w:r>
      </w:hyperlink>
      <w:r w:rsidR="00E84BFF" w:rsidRPr="00E84BFF">
        <w:rPr>
          <w:rFonts w:ascii="Century Gothic" w:eastAsia="Times New Roman" w:hAnsi="Century Gothic" w:cs="Times New Roman"/>
          <w:color w:val="000000"/>
          <w:kern w:val="0"/>
          <w:sz w:val="28"/>
          <w:szCs w:val="28"/>
          <w:lang w:val="es-ES" w:eastAsia="es-ES"/>
          <w14:ligatures w14:val="none"/>
        </w:rPr>
        <w:br/>
      </w:r>
      <w:r w:rsidR="00E84BFF" w:rsidRPr="006A56C8">
        <w:rPr>
          <w:rFonts w:ascii="Century Gothic" w:eastAsia="Times New Roman" w:hAnsi="Century Gothic" w:cs="Times New Roman"/>
          <w:color w:val="000000"/>
          <w:kern w:val="0"/>
          <w:sz w:val="28"/>
          <w:szCs w:val="28"/>
          <w:lang w:val="es-ES" w:eastAsia="es-ES"/>
          <w14:ligatures w14:val="none"/>
        </w:rPr>
        <w:t xml:space="preserve">Maestra: </w:t>
      </w:r>
      <w:r w:rsidR="00E84BFF" w:rsidRPr="00E84BFF">
        <w:rPr>
          <w:rFonts w:ascii="Century Gothic" w:eastAsia="Times New Roman" w:hAnsi="Century Gothic" w:cs="Times New Roman"/>
          <w:color w:val="000000"/>
          <w:kern w:val="0"/>
          <w:sz w:val="28"/>
          <w:szCs w:val="28"/>
          <w:lang w:val="es-ES" w:eastAsia="es-ES"/>
          <w14:ligatures w14:val="none"/>
        </w:rPr>
        <w:t>MARIA GUADALUPE HERNANDEZ VAZQUEZ</w:t>
      </w:r>
    </w:p>
    <w:p w14:paraId="13C22920" w14:textId="77777777" w:rsidR="00E84BFF" w:rsidRPr="006A56C8" w:rsidRDefault="00E84BFF" w:rsidP="00E84BFF">
      <w:pPr>
        <w:jc w:val="center"/>
        <w:rPr>
          <w:rFonts w:ascii="Century Gothic" w:hAnsi="Century Gothic"/>
          <w:sz w:val="28"/>
          <w:szCs w:val="28"/>
        </w:rPr>
      </w:pPr>
      <w:r w:rsidRPr="006A56C8">
        <w:rPr>
          <w:rFonts w:ascii="Century Gothic" w:eastAsia="Times New Roman" w:hAnsi="Century Gothic" w:cs="Times New Roman"/>
          <w:color w:val="000000"/>
          <w:kern w:val="0"/>
          <w:sz w:val="28"/>
          <w:szCs w:val="28"/>
          <w:lang w:val="es-ES" w:eastAsia="es-ES"/>
          <w14:ligatures w14:val="none"/>
        </w:rPr>
        <w:t xml:space="preserve">Alumna: </w:t>
      </w:r>
      <w:r w:rsidRPr="006A56C8">
        <w:rPr>
          <w:rFonts w:ascii="Century Gothic" w:hAnsi="Century Gothic"/>
          <w:sz w:val="28"/>
          <w:szCs w:val="28"/>
        </w:rPr>
        <w:t>JULIA YESSENIA MONTOYA SILVA #18</w:t>
      </w:r>
    </w:p>
    <w:p w14:paraId="739CF9D4"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UNIDAD 2 EL MODELO Y SU CONCRECIÓN EN EL AULA: PROCESOS Y PRÁCTICAS DE ENSEÑANZA Y APRENDIZAJE.</w:t>
      </w:r>
    </w:p>
    <w:p w14:paraId="68293B1D"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ab/>
      </w:r>
    </w:p>
    <w:p w14:paraId="10CDC68B"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Detecta los procesos de aprendizaje de sus alumnos para favorecer su desarrollo cognitivo y socioemocional.</w:t>
      </w:r>
    </w:p>
    <w:p w14:paraId="41467167"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ab/>
      </w:r>
    </w:p>
    <w:p w14:paraId="46794B05"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Aplica el plan y programas de estudio para alcanzar los propósitos educativos y contribuir al pleno desenvolvimiento de las capacidades de sus alumnos.</w:t>
      </w:r>
    </w:p>
    <w:p w14:paraId="363FC70C"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ab/>
      </w:r>
    </w:p>
    <w:p w14:paraId="47C3F518"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lastRenderedPageBreak/>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39E7C79"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ab/>
      </w:r>
    </w:p>
    <w:p w14:paraId="321A173C"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Integra recursos de la investigación educativa para enriquecer su práctica profesional, expresando su interés por el conocimiento, la ciencia y la mejora de la educación.</w:t>
      </w:r>
    </w:p>
    <w:p w14:paraId="2DFA1424" w14:textId="77777777" w:rsidR="006A56C8" w:rsidRPr="006A56C8"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sidRPr="006A56C8">
        <w:rPr>
          <w:rFonts w:ascii="Verdana" w:eastAsia="Times New Roman" w:hAnsi="Verdana" w:cs="Times New Roman"/>
          <w:color w:val="000000"/>
          <w:kern w:val="0"/>
          <w:sz w:val="24"/>
          <w:szCs w:val="24"/>
          <w:lang w:val="es-ES" w:eastAsia="es-ES"/>
          <w14:ligatures w14:val="none"/>
        </w:rPr>
        <w:tab/>
      </w:r>
    </w:p>
    <w:p w14:paraId="1B3635FC" w14:textId="06ED756C" w:rsidR="00FB6D1C" w:rsidRDefault="006A56C8" w:rsidP="006A56C8">
      <w:pPr>
        <w:spacing w:after="0" w:line="240" w:lineRule="auto"/>
        <w:ind w:left="60"/>
        <w:jc w:val="center"/>
        <w:rPr>
          <w:rFonts w:ascii="Verdana" w:eastAsia="Times New Roman" w:hAnsi="Verdana" w:cs="Times New Roman"/>
          <w:color w:val="000000"/>
          <w:kern w:val="0"/>
          <w:sz w:val="24"/>
          <w:szCs w:val="24"/>
          <w:lang w:val="es-ES" w:eastAsia="es-ES"/>
          <w14:ligatures w14:val="none"/>
        </w:rPr>
      </w:pPr>
      <w:r>
        <w:rPr>
          <w:rFonts w:ascii="Verdana" w:eastAsia="Times New Roman" w:hAnsi="Verdana" w:cs="Times New Roman"/>
          <w:noProof/>
          <w:color w:val="000000"/>
          <w:kern w:val="0"/>
          <w:sz w:val="24"/>
          <w:szCs w:val="24"/>
          <w:lang w:val="es-ES" w:eastAsia="es-ES"/>
          <w14:ligatures w14:val="none"/>
        </w:rPr>
        <w:drawing>
          <wp:anchor distT="0" distB="0" distL="114300" distR="114300" simplePos="0" relativeHeight="251660288" behindDoc="0" locked="0" layoutInCell="1" allowOverlap="1" wp14:anchorId="39990577" wp14:editId="13BB5F40">
            <wp:simplePos x="0" y="0"/>
            <wp:positionH relativeFrom="column">
              <wp:posOffset>2517140</wp:posOffset>
            </wp:positionH>
            <wp:positionV relativeFrom="paragraph">
              <wp:posOffset>311400</wp:posOffset>
            </wp:positionV>
            <wp:extent cx="4601980" cy="5241786"/>
            <wp:effectExtent l="0" t="0" r="825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7500" b="92941" l="6198" r="95980">
                                  <a14:foregroundMark x1="12060" y1="14853" x2="12060" y2="14853"/>
                                  <a14:foregroundMark x1="6198" y1="27794" x2="6198" y2="27794"/>
                                  <a14:foregroundMark x1="30318" y1="7794" x2="30318" y2="7794"/>
                                  <a14:foregroundMark x1="90285" y1="21176" x2="90285" y2="21176"/>
                                  <a14:foregroundMark x1="92797" y1="25147" x2="92797" y2="25147"/>
                                  <a14:foregroundMark x1="96147" y1="25735" x2="96147" y2="25735"/>
                                  <a14:foregroundMark x1="58626" y1="89559" x2="58626" y2="89559"/>
                                  <a14:foregroundMark x1="59296" y1="90882" x2="59296" y2="87794"/>
                                  <a14:foregroundMark x1="42714" y1="92941" x2="41374" y2="8955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4601980" cy="5241786"/>
                    </a:xfrm>
                    <a:prstGeom prst="rect">
                      <a:avLst/>
                    </a:prstGeom>
                    <a:noFill/>
                  </pic:spPr>
                </pic:pic>
              </a:graphicData>
            </a:graphic>
            <wp14:sizeRelH relativeFrom="margin">
              <wp14:pctWidth>0</wp14:pctWidth>
            </wp14:sizeRelH>
            <wp14:sizeRelV relativeFrom="margin">
              <wp14:pctHeight>0</wp14:pctHeight>
            </wp14:sizeRelV>
          </wp:anchor>
        </w:drawing>
      </w:r>
      <w:r w:rsidRPr="006A56C8">
        <w:rPr>
          <w:rFonts w:ascii="Verdana" w:eastAsia="Times New Roman" w:hAnsi="Verdana" w:cs="Times New Roman"/>
          <w:color w:val="000000"/>
          <w:kern w:val="0"/>
          <w:sz w:val="24"/>
          <w:szCs w:val="24"/>
          <w:lang w:val="es-ES" w:eastAsia="es-ES"/>
          <w14:ligatures w14:val="none"/>
        </w:rPr>
        <w:t>Actúa de manera ética ante la diversidad de situaciones que se presentan en la práctica profesional</w:t>
      </w:r>
      <w:r>
        <w:rPr>
          <w:rFonts w:ascii="Verdana" w:eastAsia="Times New Roman" w:hAnsi="Verdana" w:cs="Times New Roman"/>
          <w:color w:val="000000"/>
          <w:kern w:val="0"/>
          <w:sz w:val="24"/>
          <w:szCs w:val="24"/>
          <w:lang w:val="es-ES" w:eastAsia="es-ES"/>
          <w14:ligatures w14:val="none"/>
        </w:rPr>
        <w:t>.</w:t>
      </w:r>
    </w:p>
    <w:tbl>
      <w:tblPr>
        <w:tblStyle w:val="Tablaconcuadrcula"/>
        <w:tblpPr w:leftFromText="141" w:rightFromText="141" w:horzAnchor="margin" w:tblpY="645"/>
        <w:tblW w:w="0" w:type="auto"/>
        <w:tblLook w:val="04A0" w:firstRow="1" w:lastRow="0" w:firstColumn="1" w:lastColumn="0" w:noHBand="0" w:noVBand="1"/>
      </w:tblPr>
      <w:tblGrid>
        <w:gridCol w:w="5524"/>
        <w:gridCol w:w="8038"/>
      </w:tblGrid>
      <w:tr w:rsidR="00FB6D1C" w:rsidRPr="00E84BFF" w14:paraId="13E9E0D0" w14:textId="77777777" w:rsidTr="00E84BFF">
        <w:tc>
          <w:tcPr>
            <w:tcW w:w="5524" w:type="dxa"/>
            <w:shd w:val="clear" w:color="auto" w:fill="00B0F0"/>
          </w:tcPr>
          <w:p w14:paraId="4C6FF20B" w14:textId="0B9FA79A" w:rsidR="006A56C8" w:rsidRPr="006A56C8" w:rsidRDefault="006A56C8" w:rsidP="006A56C8">
            <w:pPr>
              <w:ind w:left="60"/>
              <w:jc w:val="center"/>
              <w:rPr>
                <w:rFonts w:ascii="Verdana" w:eastAsia="Times New Roman" w:hAnsi="Verdana" w:cs="Times New Roman"/>
                <w:color w:val="000000"/>
                <w:kern w:val="0"/>
                <w:sz w:val="24"/>
                <w:szCs w:val="24"/>
                <w:lang w:val="es-ES" w:eastAsia="es-ES"/>
                <w14:ligatures w14:val="none"/>
              </w:rPr>
            </w:pPr>
          </w:p>
          <w:p w14:paraId="2347FB06" w14:textId="0A4DEC07"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t>Enfoque y principios pedagógicos</w:t>
            </w:r>
          </w:p>
        </w:tc>
        <w:tc>
          <w:tcPr>
            <w:tcW w:w="8038" w:type="dxa"/>
          </w:tcPr>
          <w:p w14:paraId="46845667"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La comunidad como núcleo de los procesos educativos.</w:t>
            </w:r>
          </w:p>
          <w:p w14:paraId="5DF389CE"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xml:space="preserve">Objetivo: Promover el aprendizaje de excelencia, inclusivo, pluricultural, colaborativo y equitativo. </w:t>
            </w:r>
          </w:p>
          <w:p w14:paraId="62FA7C40"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3E7D89FA"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xml:space="preserve">Educación para la democracia; se aprenden valores, saberes, conocimientos y habilidades para ejercer su ciudadanía de manera crítica, activa y solidaria. </w:t>
            </w:r>
          </w:p>
          <w:p w14:paraId="712316C8"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6A2DE420"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Metodologías diferenciadas según el campo formativo: AB Proyectos, AB en indagación desde STEM, AB en problemas, aprendizaje por servicio.</w:t>
            </w:r>
          </w:p>
          <w:p w14:paraId="7D9587FF"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6C8F42D0"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Hay interacción de diferentes saberes desde un horizonte plural y una perspectiva interdisciplinaria.</w:t>
            </w:r>
          </w:p>
          <w:p w14:paraId="4F030518"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41E75A56"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xml:space="preserve">Autonomía curricular y profesional de magisterio para interpretar el currículo y adecuar los programas a su realidad cotidiana. </w:t>
            </w:r>
          </w:p>
          <w:p w14:paraId="1B75DE9D" w14:textId="77777777" w:rsidR="00FB6D1C" w:rsidRPr="00E84BFF" w:rsidRDefault="00FB6D1C" w:rsidP="00FB6D1C">
            <w:pPr>
              <w:rPr>
                <w:rFonts w:ascii="Century Gothic" w:hAnsi="Century Gothic" w:cs="Times New Roman"/>
                <w:sz w:val="28"/>
                <w:szCs w:val="28"/>
              </w:rPr>
            </w:pPr>
          </w:p>
        </w:tc>
      </w:tr>
      <w:tr w:rsidR="00FB6D1C" w:rsidRPr="00E84BFF" w14:paraId="2E4F36F9" w14:textId="77777777" w:rsidTr="00E84BFF">
        <w:tc>
          <w:tcPr>
            <w:tcW w:w="5524" w:type="dxa"/>
            <w:shd w:val="clear" w:color="auto" w:fill="00B0F0"/>
          </w:tcPr>
          <w:p w14:paraId="0E6252BF" w14:textId="31C10D46"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t>Perfil de egreso</w:t>
            </w:r>
          </w:p>
        </w:tc>
        <w:tc>
          <w:tcPr>
            <w:tcW w:w="8038" w:type="dxa"/>
          </w:tcPr>
          <w:p w14:paraId="1CDA7440" w14:textId="17225A18" w:rsidR="00FB6D1C" w:rsidRPr="00E84BFF" w:rsidRDefault="00FB341B"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 xml:space="preserve">Reconocen que son </w:t>
            </w:r>
            <w:r w:rsidR="00290ADD" w:rsidRPr="00E84BFF">
              <w:rPr>
                <w:rFonts w:ascii="Century Gothic" w:hAnsi="Century Gothic"/>
                <w:sz w:val="28"/>
                <w:szCs w:val="28"/>
              </w:rPr>
              <w:t>ciudadanos</w:t>
            </w:r>
            <w:r w:rsidRPr="00E84BFF">
              <w:rPr>
                <w:rFonts w:ascii="Century Gothic" w:hAnsi="Century Gothic"/>
                <w:sz w:val="28"/>
                <w:szCs w:val="28"/>
              </w:rPr>
              <w:t xml:space="preserve"> que pueden ejercer su derecho a una vida digna, a decidir sobre su cuerpo, a construir su identidad personal y colectiva, </w:t>
            </w:r>
            <w:r w:rsidR="00C01116" w:rsidRPr="00E84BFF">
              <w:rPr>
                <w:rFonts w:ascii="Century Gothic" w:hAnsi="Century Gothic"/>
                <w:sz w:val="28"/>
                <w:szCs w:val="28"/>
              </w:rPr>
              <w:t>así</w:t>
            </w:r>
            <w:r w:rsidRPr="00E84BFF">
              <w:rPr>
                <w:rFonts w:ascii="Century Gothic" w:hAnsi="Century Gothic"/>
                <w:sz w:val="28"/>
                <w:szCs w:val="28"/>
              </w:rPr>
              <w:t xml:space="preserve"> como a vivir con bienestar y buen trato, en un marco de libertades y </w:t>
            </w:r>
            <w:r w:rsidRPr="00E84BFF">
              <w:rPr>
                <w:rFonts w:ascii="Century Gothic" w:hAnsi="Century Gothic"/>
                <w:sz w:val="28"/>
                <w:szCs w:val="28"/>
              </w:rPr>
              <w:lastRenderedPageBreak/>
              <w:t>responsabilidades con respecto a ellas mismas y ellos mismos, así como con su comunidad</w:t>
            </w:r>
          </w:p>
          <w:p w14:paraId="59FEFFBA" w14:textId="77777777" w:rsidR="00FB341B" w:rsidRPr="00E84BFF" w:rsidRDefault="00FB341B"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Viven, reconocen y valoran la diversidad étnica, cultural, lingüística, sexual, política, social y de género del país</w:t>
            </w:r>
          </w:p>
          <w:p w14:paraId="405D72A1" w14:textId="77777777" w:rsidR="00FB341B" w:rsidRPr="00E84BFF" w:rsidRDefault="00FB341B"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Reconocen que mujeres y hombres son personas que gozan de los mismos derechos, con capacidad de acción, autonomía, decisión para vivir una vida digna, libre de violencia y discriminación</w:t>
            </w:r>
          </w:p>
          <w:p w14:paraId="7E71C43D" w14:textId="77777777" w:rsidR="00FB341B" w:rsidRPr="00E84BFF" w:rsidRDefault="00FB341B"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Valoran sus potencialidades cognitivas, físicas y afectivas a partir de las cuales pueden mejorar sus capacidades personales y de la comunidad durante las distintas etapas de su vida</w:t>
            </w:r>
          </w:p>
          <w:p w14:paraId="7F52B596" w14:textId="77777777" w:rsidR="00FB341B" w:rsidRPr="00E84BFF" w:rsidRDefault="00FB341B"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Desarrollan una forma de pensar propia que emplean para analizar y hacer juicios argumentados sobre su realidad familiar, escolar, comunitaria, nacional y mundial.</w:t>
            </w:r>
          </w:p>
          <w:p w14:paraId="361C0515" w14:textId="77777777" w:rsidR="00FB341B" w:rsidRPr="00E84BFF" w:rsidRDefault="00FB341B"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Se perciben a sí mismas y a sí mismos como parte de la naturaleza, r conscientes del momento que viven en su ciclo de vida y la importancia de entender que el medio ambiente y su vida personal son parte de la misma trama</w:t>
            </w:r>
          </w:p>
          <w:p w14:paraId="07239025" w14:textId="77777777" w:rsidR="00290ADD" w:rsidRPr="00E84BFF" w:rsidRDefault="00290ADD"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 xml:space="preserve">Interpretan fenómenos, hechos y situaciones históricas, culturales, naturales y sociales a partir de temas diversos e indagan para explicarlos con base </w:t>
            </w:r>
            <w:r w:rsidRPr="00E84BFF">
              <w:rPr>
                <w:rFonts w:ascii="Century Gothic" w:hAnsi="Century Gothic"/>
                <w:sz w:val="28"/>
                <w:szCs w:val="28"/>
              </w:rPr>
              <w:lastRenderedPageBreak/>
              <w:t>en razonamientos, modelos, datos e información con fundamentos científicos y saberes comunitarios</w:t>
            </w:r>
          </w:p>
          <w:p w14:paraId="437291FD" w14:textId="77777777" w:rsidR="00290ADD" w:rsidRPr="00E84BFF" w:rsidRDefault="00290ADD"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Interactúan en procesos de diálogo con respeto y aprecio a la diversidad de capacidades, características, condiciones, necesidades, intereses y visiones al trabajar de manera cooperativa</w:t>
            </w:r>
          </w:p>
          <w:p w14:paraId="07482C55" w14:textId="77777777" w:rsidR="00290ADD" w:rsidRPr="00E84BFF" w:rsidRDefault="00290ADD"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Intercambian ideas, cosmovisiones y perspectivas mediante distintos lenguajes, con el fin de establecer acuerdos en los que se respeten las ideas propias y las de otras y otros. Dominan habilidades de comunicación básica tanto en su lengua materna como en otras lenguas.</w:t>
            </w:r>
          </w:p>
          <w:p w14:paraId="6D0D324A" w14:textId="0CF806A6" w:rsidR="00290ADD" w:rsidRPr="00E84BFF" w:rsidRDefault="00290ADD" w:rsidP="00FB341B">
            <w:pPr>
              <w:pStyle w:val="Prrafodelista"/>
              <w:numPr>
                <w:ilvl w:val="0"/>
                <w:numId w:val="2"/>
              </w:numPr>
              <w:rPr>
                <w:rFonts w:ascii="Century Gothic" w:hAnsi="Century Gothic" w:cs="Times New Roman"/>
                <w:sz w:val="28"/>
                <w:szCs w:val="28"/>
              </w:rPr>
            </w:pPr>
            <w:r w:rsidRPr="00E84BFF">
              <w:rPr>
                <w:rFonts w:ascii="Century Gothic" w:hAnsi="Century Gothic"/>
                <w:sz w:val="28"/>
                <w:szCs w:val="28"/>
              </w:rPr>
              <w:t>Desarrollan el pensamiento crítico que les permita valorar los conocimientos y saberes de las ciencias y humanidades, reconociendo la importancia que tienen la historia y la cultura para examinar críticamente sus propias ideas y el valor de los puntos de vista de las y los demás</w:t>
            </w:r>
          </w:p>
        </w:tc>
      </w:tr>
      <w:tr w:rsidR="00FB6D1C" w:rsidRPr="00E84BFF" w14:paraId="187665A9" w14:textId="77777777" w:rsidTr="00E84BFF">
        <w:tc>
          <w:tcPr>
            <w:tcW w:w="5524" w:type="dxa"/>
            <w:shd w:val="clear" w:color="auto" w:fill="00B0F0"/>
          </w:tcPr>
          <w:p w14:paraId="2FFCAC20" w14:textId="5719F365"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lastRenderedPageBreak/>
              <w:t>Organización de los grados de Educación Básica</w:t>
            </w:r>
          </w:p>
        </w:tc>
        <w:tc>
          <w:tcPr>
            <w:tcW w:w="8038" w:type="dxa"/>
          </w:tcPr>
          <w:p w14:paraId="6315BBEB" w14:textId="12042230" w:rsidR="00990CAA"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Son seis fases:</w:t>
            </w:r>
          </w:p>
          <w:p w14:paraId="53D71AA9" w14:textId="27C6FBB4" w:rsidR="00990CAA"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Primera fase: Educación inicial.</w:t>
            </w:r>
          </w:p>
          <w:p w14:paraId="4AD1C488" w14:textId="77777777" w:rsidR="00990CAA"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 xml:space="preserve">Segunda fase 1, 2 y 3 grado de Educación preescolar </w:t>
            </w:r>
          </w:p>
          <w:p w14:paraId="2A2D98AE" w14:textId="4EF83CA2" w:rsidR="00990CAA"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 xml:space="preserve">Tercera fase: 1 y 2 grado de Primaria </w:t>
            </w:r>
          </w:p>
          <w:p w14:paraId="32470462" w14:textId="04A50A32" w:rsidR="00990CAA"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Cuarta fase 3 y 4 grado de Primaria</w:t>
            </w:r>
          </w:p>
          <w:p w14:paraId="697FEDC7" w14:textId="74A78F2E" w:rsidR="00990CAA"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Quinta Primaria (5° y 6°)</w:t>
            </w:r>
          </w:p>
          <w:p w14:paraId="0B640DE9" w14:textId="6BD1E4C0" w:rsidR="00FB6D1C" w:rsidRPr="00E84BFF" w:rsidRDefault="00990CAA" w:rsidP="00990CAA">
            <w:pPr>
              <w:rPr>
                <w:rFonts w:ascii="Century Gothic" w:hAnsi="Century Gothic" w:cs="Times New Roman"/>
                <w:sz w:val="28"/>
                <w:szCs w:val="28"/>
              </w:rPr>
            </w:pPr>
            <w:r w:rsidRPr="00E84BFF">
              <w:rPr>
                <w:rFonts w:ascii="Century Gothic" w:hAnsi="Century Gothic" w:cs="Times New Roman"/>
                <w:sz w:val="28"/>
                <w:szCs w:val="28"/>
              </w:rPr>
              <w:t>Secundaria (3 grados)</w:t>
            </w:r>
          </w:p>
        </w:tc>
      </w:tr>
      <w:tr w:rsidR="00FB6D1C" w:rsidRPr="00E84BFF" w14:paraId="06EEEE8C" w14:textId="77777777" w:rsidTr="00E84BFF">
        <w:tc>
          <w:tcPr>
            <w:tcW w:w="5524" w:type="dxa"/>
            <w:shd w:val="clear" w:color="auto" w:fill="00B0F0"/>
          </w:tcPr>
          <w:p w14:paraId="1126B8D9" w14:textId="0CA4FD60"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t>Campos formativos y asignaturas asociadas</w:t>
            </w:r>
          </w:p>
        </w:tc>
        <w:tc>
          <w:tcPr>
            <w:tcW w:w="8038" w:type="dxa"/>
          </w:tcPr>
          <w:p w14:paraId="37617644"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4 Campos formativos:</w:t>
            </w:r>
          </w:p>
          <w:p w14:paraId="3102D37D"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 </w:t>
            </w:r>
          </w:p>
          <w:p w14:paraId="54783282" w14:textId="09AE3A55"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lastRenderedPageBreak/>
              <w:t>Lenguajes: español, lenguas indígenas, ambas tanto como primeras y segundas lenguas, lenguas artísticas, inglés como lengua extranjera y lenguaje de señas mexicana.</w:t>
            </w:r>
          </w:p>
          <w:p w14:paraId="223685BD"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 </w:t>
            </w:r>
          </w:p>
          <w:p w14:paraId="20B55557"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Saberes y pensamiento científico: Ciencias naturales, matemáticas, tecnología y conocimiento de los diferentes pueblos y culturas. (En fase 6: Biología, química y matemáticas)</w:t>
            </w:r>
          </w:p>
          <w:p w14:paraId="6797AE7D"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 </w:t>
            </w:r>
          </w:p>
          <w:p w14:paraId="410DE0FB"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Ética, naturaleza y sociedades: Historia, geografía y formación cívica y ética.</w:t>
            </w:r>
          </w:p>
          <w:p w14:paraId="4C7CC26B"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 </w:t>
            </w:r>
          </w:p>
          <w:p w14:paraId="693B566A" w14:textId="77777777" w:rsidR="00AB0679" w:rsidRPr="00E84BFF" w:rsidRDefault="00AB0679" w:rsidP="00AB0679">
            <w:pPr>
              <w:rPr>
                <w:rFonts w:ascii="Century Gothic" w:hAnsi="Century Gothic" w:cs="Times New Roman"/>
                <w:sz w:val="28"/>
                <w:szCs w:val="28"/>
              </w:rPr>
            </w:pPr>
            <w:r w:rsidRPr="00E84BFF">
              <w:rPr>
                <w:rFonts w:ascii="Century Gothic" w:hAnsi="Century Gothic" w:cs="Times New Roman"/>
                <w:sz w:val="28"/>
                <w:szCs w:val="28"/>
              </w:rPr>
              <w:t xml:space="preserve">De lo humano y los comunitario: Educación física, educación socioemocional, tutoría, vida saludable y tecnología. </w:t>
            </w:r>
          </w:p>
          <w:p w14:paraId="158E1601" w14:textId="77777777" w:rsidR="00FB6D1C" w:rsidRPr="00E84BFF" w:rsidRDefault="00FB6D1C" w:rsidP="00FB6D1C">
            <w:pPr>
              <w:rPr>
                <w:rFonts w:ascii="Century Gothic" w:hAnsi="Century Gothic" w:cs="Times New Roman"/>
                <w:sz w:val="28"/>
                <w:szCs w:val="28"/>
              </w:rPr>
            </w:pPr>
          </w:p>
        </w:tc>
      </w:tr>
      <w:tr w:rsidR="00FB6D1C" w:rsidRPr="00E84BFF" w14:paraId="72FF583C" w14:textId="77777777" w:rsidTr="00E84BFF">
        <w:tc>
          <w:tcPr>
            <w:tcW w:w="5524" w:type="dxa"/>
            <w:shd w:val="clear" w:color="auto" w:fill="00B0F0"/>
          </w:tcPr>
          <w:p w14:paraId="17421D98" w14:textId="57F88260"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lastRenderedPageBreak/>
              <w:t>Organizadores curriculares (los elementos del programa sintético. Que incluye cada campo formativo)</w:t>
            </w:r>
          </w:p>
        </w:tc>
        <w:tc>
          <w:tcPr>
            <w:tcW w:w="8038" w:type="dxa"/>
          </w:tcPr>
          <w:p w14:paraId="23840DDB"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Los elementos del programa sintético se organizan de la siguiente manera:</w:t>
            </w:r>
          </w:p>
          <w:p w14:paraId="1C145B69"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5403953F"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Descripción del campo formativo para la EB y por fases.</w:t>
            </w:r>
          </w:p>
          <w:p w14:paraId="28818461"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0BC045B3"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Contenidos.</w:t>
            </w:r>
          </w:p>
          <w:p w14:paraId="6A3E89F0"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7C3EB8F1"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Diálogos.</w:t>
            </w:r>
          </w:p>
          <w:p w14:paraId="0D49DFF4"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6621446B"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Progresiones de aprendizaje.</w:t>
            </w:r>
          </w:p>
          <w:p w14:paraId="254AA03A"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lastRenderedPageBreak/>
              <w:t> </w:t>
            </w:r>
          </w:p>
          <w:p w14:paraId="3AF1A55E"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Orientaciones didácticas.</w:t>
            </w:r>
          </w:p>
          <w:p w14:paraId="6361C7E2"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 </w:t>
            </w:r>
          </w:p>
          <w:p w14:paraId="393E26E8" w14:textId="77777777" w:rsidR="00FE6B99" w:rsidRPr="00E84BFF" w:rsidRDefault="00FE6B99" w:rsidP="00FE6B99">
            <w:pPr>
              <w:rPr>
                <w:rFonts w:ascii="Century Gothic" w:hAnsi="Century Gothic" w:cs="Times New Roman"/>
                <w:sz w:val="28"/>
                <w:szCs w:val="28"/>
              </w:rPr>
            </w:pPr>
            <w:r w:rsidRPr="00E84BFF">
              <w:rPr>
                <w:rFonts w:ascii="Century Gothic" w:hAnsi="Century Gothic" w:cs="Times New Roman"/>
                <w:sz w:val="28"/>
                <w:szCs w:val="28"/>
              </w:rPr>
              <w:t>Sugerencias de evaluación.</w:t>
            </w:r>
          </w:p>
          <w:p w14:paraId="5E76148D" w14:textId="77777777" w:rsidR="00FB6D1C" w:rsidRPr="00E84BFF" w:rsidRDefault="00FB6D1C" w:rsidP="00FB6D1C">
            <w:pPr>
              <w:rPr>
                <w:rFonts w:ascii="Century Gothic" w:hAnsi="Century Gothic" w:cs="Times New Roman"/>
                <w:sz w:val="28"/>
                <w:szCs w:val="28"/>
              </w:rPr>
            </w:pPr>
          </w:p>
        </w:tc>
      </w:tr>
      <w:tr w:rsidR="00FB6D1C" w:rsidRPr="00E84BFF" w14:paraId="0CCCFAC9" w14:textId="77777777" w:rsidTr="00E84BFF">
        <w:tc>
          <w:tcPr>
            <w:tcW w:w="5524" w:type="dxa"/>
            <w:shd w:val="clear" w:color="auto" w:fill="00B0F0"/>
          </w:tcPr>
          <w:p w14:paraId="48E8EF08" w14:textId="7AF520F9"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lastRenderedPageBreak/>
              <w:t>Transversalidad (7 ejes articuladores)</w:t>
            </w:r>
          </w:p>
        </w:tc>
        <w:tc>
          <w:tcPr>
            <w:tcW w:w="8038" w:type="dxa"/>
          </w:tcPr>
          <w:p w14:paraId="3331DC6D" w14:textId="77777777" w:rsidR="00FB6D1C" w:rsidRPr="00E84BFF" w:rsidRDefault="00290ADD" w:rsidP="00FB6D1C">
            <w:pPr>
              <w:rPr>
                <w:rFonts w:ascii="Century Gothic" w:hAnsi="Century Gothic" w:cs="Times New Roman"/>
                <w:sz w:val="28"/>
                <w:szCs w:val="28"/>
              </w:rPr>
            </w:pPr>
            <w:r w:rsidRPr="00E84BFF">
              <w:rPr>
                <w:rFonts w:ascii="Century Gothic" w:hAnsi="Century Gothic" w:cs="Times New Roman"/>
                <w:sz w:val="28"/>
                <w:szCs w:val="28"/>
              </w:rPr>
              <w:t>Inclusión</w:t>
            </w:r>
          </w:p>
          <w:p w14:paraId="32D5D9B8" w14:textId="77777777" w:rsidR="00290ADD" w:rsidRPr="00E84BFF" w:rsidRDefault="00290ADD" w:rsidP="00FB6D1C">
            <w:pPr>
              <w:rPr>
                <w:rFonts w:ascii="Century Gothic" w:hAnsi="Century Gothic"/>
                <w:sz w:val="28"/>
                <w:szCs w:val="28"/>
              </w:rPr>
            </w:pPr>
            <w:r w:rsidRPr="00E84BFF">
              <w:rPr>
                <w:rFonts w:ascii="Century Gothic" w:hAnsi="Century Gothic"/>
                <w:sz w:val="28"/>
                <w:szCs w:val="28"/>
              </w:rPr>
              <w:t>sugiere desarrollar procesos formativos y relaciones pedagógicas que permitan comprender, durante la educación preescolar, primaria y secundaria, la lógica colonial que opera en nuestra experiencia humana cotidiana</w:t>
            </w:r>
          </w:p>
          <w:p w14:paraId="2A4B5023" w14:textId="77777777" w:rsidR="00290ADD" w:rsidRPr="00E84BFF" w:rsidRDefault="00290ADD" w:rsidP="00FB6D1C">
            <w:pPr>
              <w:rPr>
                <w:rFonts w:ascii="Century Gothic" w:hAnsi="Century Gothic"/>
                <w:sz w:val="28"/>
                <w:szCs w:val="28"/>
              </w:rPr>
            </w:pPr>
          </w:p>
          <w:p w14:paraId="58F249BB" w14:textId="7C5FE713" w:rsidR="00290ADD" w:rsidRPr="00E84BFF" w:rsidRDefault="00290ADD" w:rsidP="00FB6D1C">
            <w:pPr>
              <w:rPr>
                <w:rFonts w:ascii="Century Gothic" w:hAnsi="Century Gothic"/>
                <w:sz w:val="28"/>
                <w:szCs w:val="28"/>
              </w:rPr>
            </w:pPr>
            <w:r w:rsidRPr="00E84BFF">
              <w:rPr>
                <w:rFonts w:ascii="Century Gothic" w:hAnsi="Century Gothic"/>
                <w:sz w:val="28"/>
                <w:szCs w:val="28"/>
              </w:rPr>
              <w:t xml:space="preserve">Pensamiento </w:t>
            </w:r>
            <w:r w:rsidR="00C01116" w:rsidRPr="00E84BFF">
              <w:rPr>
                <w:rFonts w:ascii="Century Gothic" w:hAnsi="Century Gothic"/>
                <w:sz w:val="28"/>
                <w:szCs w:val="28"/>
              </w:rPr>
              <w:t>crítico</w:t>
            </w:r>
            <w:r w:rsidRPr="00E84BFF">
              <w:rPr>
                <w:rFonts w:ascii="Century Gothic" w:hAnsi="Century Gothic"/>
                <w:sz w:val="28"/>
                <w:szCs w:val="28"/>
              </w:rPr>
              <w:t>:</w:t>
            </w:r>
          </w:p>
          <w:p w14:paraId="30375490" w14:textId="77777777" w:rsidR="00290ADD" w:rsidRPr="00E84BFF" w:rsidRDefault="00C01116" w:rsidP="00FB6D1C">
            <w:pPr>
              <w:rPr>
                <w:rFonts w:ascii="Century Gothic" w:hAnsi="Century Gothic"/>
                <w:sz w:val="28"/>
                <w:szCs w:val="28"/>
              </w:rPr>
            </w:pPr>
            <w:r w:rsidRPr="00E84BFF">
              <w:rPr>
                <w:rFonts w:ascii="Century Gothic" w:hAnsi="Century Gothic"/>
                <w:sz w:val="28"/>
                <w:szCs w:val="28"/>
              </w:rPr>
              <w:t>en donde lo crítico se entiende como la recuperación del otro desde la diversidad, es fundamental para la formación de una ciudadanía con valores democráticos y justicia social</w:t>
            </w:r>
          </w:p>
          <w:p w14:paraId="6EB4A982" w14:textId="77777777" w:rsidR="00C01116" w:rsidRPr="00E84BFF" w:rsidRDefault="00C01116" w:rsidP="00FB6D1C">
            <w:pPr>
              <w:rPr>
                <w:rFonts w:ascii="Century Gothic" w:hAnsi="Century Gothic" w:cs="Times New Roman"/>
                <w:sz w:val="28"/>
                <w:szCs w:val="28"/>
              </w:rPr>
            </w:pPr>
          </w:p>
          <w:p w14:paraId="42A19D20" w14:textId="77777777" w:rsidR="00C01116" w:rsidRPr="00E84BFF" w:rsidRDefault="00C01116" w:rsidP="00FB6D1C">
            <w:pPr>
              <w:rPr>
                <w:rFonts w:ascii="Century Gothic" w:hAnsi="Century Gothic" w:cs="Times New Roman"/>
                <w:sz w:val="28"/>
                <w:szCs w:val="28"/>
              </w:rPr>
            </w:pPr>
            <w:r w:rsidRPr="00E84BFF">
              <w:rPr>
                <w:rFonts w:ascii="Century Gothic" w:hAnsi="Century Gothic" w:cs="Times New Roman"/>
                <w:sz w:val="28"/>
                <w:szCs w:val="28"/>
              </w:rPr>
              <w:t>Interculturalidad critica:</w:t>
            </w:r>
          </w:p>
          <w:p w14:paraId="7860A1B1" w14:textId="77777777" w:rsidR="00C01116" w:rsidRPr="00E84BFF" w:rsidRDefault="00C01116" w:rsidP="00FB6D1C">
            <w:pPr>
              <w:rPr>
                <w:rFonts w:ascii="Century Gothic" w:hAnsi="Century Gothic"/>
                <w:sz w:val="28"/>
                <w:szCs w:val="28"/>
              </w:rPr>
            </w:pPr>
            <w:r w:rsidRPr="00E84BFF">
              <w:rPr>
                <w:rFonts w:ascii="Century Gothic" w:hAnsi="Century Gothic"/>
                <w:sz w:val="28"/>
                <w:szCs w:val="28"/>
              </w:rPr>
              <w:t xml:space="preserve">Las culturas son matrices dinámicas y complejas de producción de imaginación, creencia, comprensión, interpretación y acción que las personas y los grupos construyen e interiorizan para dar sentido y razón a su vida, a su comunidad y a los contextos geográficos y sociales en que habitan. Las r culturas generan tipos específicos de subjetividad, formas originales de ser </w:t>
            </w:r>
            <w:r w:rsidRPr="00E84BFF">
              <w:rPr>
                <w:rFonts w:ascii="Century Gothic" w:hAnsi="Century Gothic"/>
                <w:sz w:val="28"/>
                <w:szCs w:val="28"/>
              </w:rPr>
              <w:lastRenderedPageBreak/>
              <w:t>humano, que a su vez producen, crean y recrean esas mismas culturas</w:t>
            </w:r>
          </w:p>
          <w:p w14:paraId="4D833B69" w14:textId="77777777" w:rsidR="00C01116" w:rsidRPr="00E84BFF" w:rsidRDefault="00C01116" w:rsidP="00FB6D1C">
            <w:pPr>
              <w:rPr>
                <w:rFonts w:ascii="Century Gothic" w:hAnsi="Century Gothic" w:cs="Times New Roman"/>
                <w:sz w:val="28"/>
                <w:szCs w:val="28"/>
              </w:rPr>
            </w:pPr>
          </w:p>
          <w:p w14:paraId="4BDDDAC2" w14:textId="77777777" w:rsidR="00C01116" w:rsidRPr="00E84BFF" w:rsidRDefault="00C01116" w:rsidP="00FB6D1C">
            <w:pPr>
              <w:rPr>
                <w:rFonts w:ascii="Century Gothic" w:hAnsi="Century Gothic" w:cs="Times New Roman"/>
                <w:sz w:val="28"/>
                <w:szCs w:val="28"/>
              </w:rPr>
            </w:pPr>
            <w:r w:rsidRPr="00E84BFF">
              <w:rPr>
                <w:rFonts w:ascii="Century Gothic" w:hAnsi="Century Gothic" w:cs="Times New Roman"/>
                <w:sz w:val="28"/>
                <w:szCs w:val="28"/>
              </w:rPr>
              <w:t>Igualdad de género:</w:t>
            </w:r>
          </w:p>
          <w:p w14:paraId="065A6674" w14:textId="77777777" w:rsidR="00C01116" w:rsidRPr="00E84BFF" w:rsidRDefault="00C01116" w:rsidP="00FB6D1C">
            <w:pPr>
              <w:rPr>
                <w:rFonts w:ascii="Century Gothic" w:hAnsi="Century Gothic"/>
                <w:sz w:val="28"/>
                <w:szCs w:val="28"/>
              </w:rPr>
            </w:pPr>
            <w:r w:rsidRPr="00E84BFF">
              <w:rPr>
                <w:rFonts w:ascii="Century Gothic" w:hAnsi="Century Gothic"/>
                <w:sz w:val="28"/>
                <w:szCs w:val="28"/>
              </w:rPr>
              <w:t>La incorporación de un eje sobre igualdad de género en la educación preescolar, primaria y secundaria supone una formación en la que niñas, niños y adolescentes cuestionen prácticas institucionalizadas desde donde se asigna a cada persona una identidad sexual, racial y un género que termina estableciendo desigualmente su condición laboral, social y educativa en la comunidad o fuera de ésta</w:t>
            </w:r>
          </w:p>
          <w:p w14:paraId="3FE59CAB" w14:textId="77777777" w:rsidR="00C01116" w:rsidRPr="00E84BFF" w:rsidRDefault="00C01116" w:rsidP="00FB6D1C">
            <w:pPr>
              <w:rPr>
                <w:rFonts w:ascii="Century Gothic" w:hAnsi="Century Gothic"/>
                <w:sz w:val="28"/>
                <w:szCs w:val="28"/>
              </w:rPr>
            </w:pPr>
          </w:p>
          <w:p w14:paraId="2F819B24" w14:textId="77777777" w:rsidR="00C01116" w:rsidRPr="00E84BFF" w:rsidRDefault="00C01116" w:rsidP="00FB6D1C">
            <w:pPr>
              <w:rPr>
                <w:rFonts w:ascii="Century Gothic" w:hAnsi="Century Gothic"/>
                <w:sz w:val="28"/>
                <w:szCs w:val="28"/>
              </w:rPr>
            </w:pPr>
            <w:r w:rsidRPr="00E84BFF">
              <w:rPr>
                <w:rFonts w:ascii="Century Gothic" w:hAnsi="Century Gothic"/>
                <w:sz w:val="28"/>
                <w:szCs w:val="28"/>
              </w:rPr>
              <w:t xml:space="preserve"> Vida saludable:</w:t>
            </w:r>
          </w:p>
          <w:p w14:paraId="67A4CD84" w14:textId="77777777" w:rsidR="00C01116" w:rsidRPr="00E84BFF" w:rsidRDefault="00C01116" w:rsidP="00FB6D1C">
            <w:pPr>
              <w:rPr>
                <w:rFonts w:ascii="Century Gothic" w:hAnsi="Century Gothic"/>
                <w:sz w:val="28"/>
                <w:szCs w:val="28"/>
              </w:rPr>
            </w:pPr>
            <w:r w:rsidRPr="00E84BFF">
              <w:rPr>
                <w:rFonts w:ascii="Century Gothic" w:hAnsi="Century Gothic"/>
                <w:sz w:val="28"/>
                <w:szCs w:val="28"/>
              </w:rPr>
              <w:t>Supone una formación progresiva, que permita a las y los estudiantes comprender el entramado de relaciones entre el medio ambiente y la dinámica social, económica y cultural de las comunidades, urbanas y rurales, el impacto de las acciones que se desprenden de dichas relaciones y las consecuencias en su salud como en la de las y los demás</w:t>
            </w:r>
          </w:p>
          <w:p w14:paraId="4EDD1612" w14:textId="77777777" w:rsidR="00C01116" w:rsidRPr="00E84BFF" w:rsidRDefault="00C01116" w:rsidP="00FB6D1C">
            <w:pPr>
              <w:rPr>
                <w:rFonts w:ascii="Century Gothic" w:hAnsi="Century Gothic" w:cs="Times New Roman"/>
                <w:sz w:val="28"/>
                <w:szCs w:val="28"/>
              </w:rPr>
            </w:pPr>
          </w:p>
          <w:p w14:paraId="739FD43A" w14:textId="77777777" w:rsidR="00C01116" w:rsidRPr="00E84BFF" w:rsidRDefault="00C01116" w:rsidP="00FB6D1C">
            <w:pPr>
              <w:rPr>
                <w:rFonts w:ascii="Century Gothic" w:hAnsi="Century Gothic" w:cs="Times New Roman"/>
                <w:sz w:val="28"/>
                <w:szCs w:val="28"/>
              </w:rPr>
            </w:pPr>
            <w:r w:rsidRPr="00E84BFF">
              <w:rPr>
                <w:rFonts w:ascii="Century Gothic" w:hAnsi="Century Gothic" w:cs="Times New Roman"/>
                <w:sz w:val="28"/>
                <w:szCs w:val="28"/>
              </w:rPr>
              <w:t>Apropiación de las culturas de la lectura y la escritura:</w:t>
            </w:r>
          </w:p>
          <w:p w14:paraId="28470416" w14:textId="77777777" w:rsidR="00C01116" w:rsidRPr="00E84BFF" w:rsidRDefault="00C01116" w:rsidP="00FB6D1C">
            <w:pPr>
              <w:rPr>
                <w:rFonts w:ascii="Century Gothic" w:hAnsi="Century Gothic"/>
                <w:sz w:val="28"/>
                <w:szCs w:val="28"/>
              </w:rPr>
            </w:pPr>
            <w:r w:rsidRPr="00E84BFF">
              <w:rPr>
                <w:rFonts w:ascii="Century Gothic" w:hAnsi="Century Gothic"/>
                <w:sz w:val="28"/>
                <w:szCs w:val="28"/>
              </w:rPr>
              <w:t xml:space="preserve">México es una comunidad de comunidades, un territorio de territorios y un lugar en donde se encuentran las lenguas maternas, las lenguas extranjeras y las lenguas olvidadas. Hacer efectivo el derecho humano a la </w:t>
            </w:r>
            <w:r w:rsidRPr="00E84BFF">
              <w:rPr>
                <w:rFonts w:ascii="Century Gothic" w:hAnsi="Century Gothic"/>
                <w:sz w:val="28"/>
                <w:szCs w:val="28"/>
              </w:rPr>
              <w:lastRenderedPageBreak/>
              <w:t>educación considerando en el centro de los procesos educativos a la comunidad, tiene como condición la posibilidad de aprender la diversidad de las lenguas</w:t>
            </w:r>
          </w:p>
          <w:p w14:paraId="5E5E1C23" w14:textId="77777777" w:rsidR="00C01116" w:rsidRPr="00E84BFF" w:rsidRDefault="00C01116" w:rsidP="00FB6D1C">
            <w:pPr>
              <w:rPr>
                <w:rFonts w:ascii="Century Gothic" w:hAnsi="Century Gothic"/>
                <w:sz w:val="28"/>
                <w:szCs w:val="28"/>
              </w:rPr>
            </w:pPr>
          </w:p>
          <w:p w14:paraId="08A9097D" w14:textId="77777777" w:rsidR="00C01116" w:rsidRPr="00E84BFF" w:rsidRDefault="00C01116" w:rsidP="00FB6D1C">
            <w:pPr>
              <w:rPr>
                <w:rFonts w:ascii="Century Gothic" w:hAnsi="Century Gothic"/>
                <w:sz w:val="28"/>
                <w:szCs w:val="28"/>
              </w:rPr>
            </w:pPr>
            <w:r w:rsidRPr="00E84BFF">
              <w:rPr>
                <w:rFonts w:ascii="Century Gothic" w:hAnsi="Century Gothic"/>
                <w:sz w:val="28"/>
                <w:szCs w:val="28"/>
              </w:rPr>
              <w:t>Artes y experiencias estéticas</w:t>
            </w:r>
          </w:p>
          <w:p w14:paraId="2B26DBDA" w14:textId="2AA6C629" w:rsidR="00C01116" w:rsidRPr="00E84BFF" w:rsidRDefault="00C01116" w:rsidP="00FB6D1C">
            <w:pPr>
              <w:rPr>
                <w:rFonts w:ascii="Century Gothic" w:hAnsi="Century Gothic" w:cs="Times New Roman"/>
                <w:sz w:val="28"/>
                <w:szCs w:val="28"/>
              </w:rPr>
            </w:pPr>
            <w:r w:rsidRPr="00E84BFF">
              <w:rPr>
                <w:rFonts w:ascii="Century Gothic" w:hAnsi="Century Gothic"/>
                <w:sz w:val="28"/>
                <w:szCs w:val="28"/>
              </w:rPr>
              <w:t>busca valorar la exploración sensible del mundo al reconocer y recuperar el valor formativo de las experiencias artísticas y estéticas que se producen en las y los estudiantes en su relación con las manifestaciones culturales, las producciones del arte y la naturaleza, así como en el reconocimiento de las artes como expresión, cultura, comunicación y cognición, abriendo puentes con otras formas de conocimiento inalienables de la experiencia humana</w:t>
            </w:r>
          </w:p>
        </w:tc>
      </w:tr>
      <w:tr w:rsidR="00FB6D1C" w:rsidRPr="00E84BFF" w14:paraId="65CB1371" w14:textId="77777777" w:rsidTr="00E84BFF">
        <w:tc>
          <w:tcPr>
            <w:tcW w:w="5524" w:type="dxa"/>
            <w:shd w:val="clear" w:color="auto" w:fill="00B0F0"/>
          </w:tcPr>
          <w:p w14:paraId="2EBDBA87" w14:textId="55218F36"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lastRenderedPageBreak/>
              <w:t>Evaluación</w:t>
            </w:r>
          </w:p>
        </w:tc>
        <w:tc>
          <w:tcPr>
            <w:tcW w:w="8038" w:type="dxa"/>
          </w:tcPr>
          <w:p w14:paraId="2536F93A" w14:textId="77777777" w:rsidR="00FB6D1C" w:rsidRPr="00E84BFF" w:rsidRDefault="00E84BFF" w:rsidP="00FB6D1C">
            <w:pPr>
              <w:rPr>
                <w:rFonts w:ascii="Century Gothic" w:hAnsi="Century Gothic" w:cs="Times New Roman"/>
                <w:sz w:val="28"/>
                <w:szCs w:val="28"/>
              </w:rPr>
            </w:pPr>
            <w:r w:rsidRPr="00E84BFF">
              <w:rPr>
                <w:rFonts w:ascii="Century Gothic" w:hAnsi="Century Gothic" w:cs="Times New Roman"/>
                <w:sz w:val="28"/>
                <w:szCs w:val="28"/>
              </w:rPr>
              <w:t>La evaluación del aprendizaje y acreditación, se establecerá de acuerdo con cada tipo, nivel, modalidad y opción educativa, así como a las condiciones territoriales culturales, sociales, productivas y formativas de las instituciones educativas.</w:t>
            </w:r>
          </w:p>
          <w:p w14:paraId="3FA987C9" w14:textId="753E3B47" w:rsidR="00E84BFF" w:rsidRPr="00E84BFF" w:rsidRDefault="00E84BFF" w:rsidP="00FB6D1C">
            <w:pPr>
              <w:rPr>
                <w:rFonts w:ascii="Century Gothic" w:hAnsi="Century Gothic" w:cs="Times New Roman"/>
                <w:sz w:val="28"/>
                <w:szCs w:val="28"/>
              </w:rPr>
            </w:pPr>
            <w:r w:rsidRPr="00E84BFF">
              <w:rPr>
                <w:rFonts w:ascii="Century Gothic" w:hAnsi="Century Gothic" w:cs="Times New Roman"/>
                <w:sz w:val="28"/>
                <w:szCs w:val="28"/>
              </w:rPr>
              <w:t>La evaluación de los aprendizajes forma parte del proceso formativo, se encuentra dentro de la relación pedagógica profesor-estudiante y en el marco del currículo que integra conocimientos y saberes alrededor de la realidad de las y los estudiantes.</w:t>
            </w:r>
          </w:p>
        </w:tc>
      </w:tr>
      <w:tr w:rsidR="00FB6D1C" w:rsidRPr="00E84BFF" w14:paraId="1A7D5913" w14:textId="77777777" w:rsidTr="00E84BFF">
        <w:tc>
          <w:tcPr>
            <w:tcW w:w="5524" w:type="dxa"/>
            <w:shd w:val="clear" w:color="auto" w:fill="00B0F0"/>
          </w:tcPr>
          <w:p w14:paraId="3AB5C5B2" w14:textId="7E07C486" w:rsidR="00FB6D1C" w:rsidRPr="00E84BFF" w:rsidRDefault="00FB6D1C" w:rsidP="00FB6D1C">
            <w:pPr>
              <w:rPr>
                <w:rFonts w:ascii="Century Gothic" w:hAnsi="Century Gothic" w:cs="Times New Roman"/>
                <w:b/>
                <w:bCs/>
                <w:sz w:val="28"/>
                <w:szCs w:val="28"/>
              </w:rPr>
            </w:pPr>
            <w:r w:rsidRPr="00E84BFF">
              <w:rPr>
                <w:rFonts w:ascii="Century Gothic" w:hAnsi="Century Gothic" w:cs="Times New Roman"/>
                <w:b/>
                <w:bCs/>
                <w:sz w:val="28"/>
                <w:szCs w:val="28"/>
              </w:rPr>
              <w:t xml:space="preserve">Plantea los dilemas y tensiones a los que se enfrentan los docentes para </w:t>
            </w:r>
            <w:r w:rsidRPr="00E84BFF">
              <w:rPr>
                <w:rFonts w:ascii="Century Gothic" w:hAnsi="Century Gothic" w:cs="Times New Roman"/>
                <w:b/>
                <w:bCs/>
                <w:sz w:val="28"/>
                <w:szCs w:val="28"/>
              </w:rPr>
              <w:lastRenderedPageBreak/>
              <w:t>concretar los enfoques y orientaciones didácticas en el aula</w:t>
            </w:r>
          </w:p>
        </w:tc>
        <w:tc>
          <w:tcPr>
            <w:tcW w:w="8038" w:type="dxa"/>
          </w:tcPr>
          <w:p w14:paraId="2E8E24F9" w14:textId="6F6AAB92" w:rsidR="00E84BFF" w:rsidRPr="00E84BFF" w:rsidRDefault="00E84BFF" w:rsidP="00E84BFF">
            <w:pPr>
              <w:rPr>
                <w:rFonts w:ascii="Century Gothic" w:hAnsi="Century Gothic" w:cs="Times New Roman"/>
                <w:sz w:val="28"/>
                <w:szCs w:val="28"/>
              </w:rPr>
            </w:pPr>
            <w:r w:rsidRPr="00E84BFF">
              <w:rPr>
                <w:rFonts w:ascii="Century Gothic" w:hAnsi="Century Gothic" w:cs="Times New Roman"/>
                <w:sz w:val="28"/>
                <w:szCs w:val="28"/>
              </w:rPr>
              <w:lastRenderedPageBreak/>
              <w:t>Las maestras y los maestros son agentes fundamentales del proceso educativo y, por tanto, se reconoce su contribución a la transformación social.</w:t>
            </w:r>
          </w:p>
          <w:p w14:paraId="456BC16F" w14:textId="747D5863" w:rsidR="00E84BFF" w:rsidRPr="00E84BFF" w:rsidRDefault="00E84BFF" w:rsidP="00E84BFF">
            <w:pPr>
              <w:rPr>
                <w:rFonts w:ascii="Century Gothic" w:hAnsi="Century Gothic" w:cs="Times New Roman"/>
                <w:sz w:val="28"/>
                <w:szCs w:val="28"/>
              </w:rPr>
            </w:pPr>
            <w:r w:rsidRPr="00E84BFF">
              <w:rPr>
                <w:rFonts w:ascii="Century Gothic" w:hAnsi="Century Gothic" w:cs="Times New Roman"/>
                <w:sz w:val="28"/>
                <w:szCs w:val="28"/>
              </w:rPr>
              <w:lastRenderedPageBreak/>
              <w:t>Tendrán derecho de acceder a un sistema integral de formación, de capacitación y de actualización retroalimentado por evaluaciones</w:t>
            </w:r>
          </w:p>
          <w:p w14:paraId="616E6744" w14:textId="3E087CC9" w:rsidR="00E84BFF" w:rsidRPr="00E84BFF" w:rsidRDefault="00E84BFF" w:rsidP="00E84BFF">
            <w:pPr>
              <w:rPr>
                <w:rFonts w:ascii="Century Gothic" w:hAnsi="Century Gothic" w:cs="Times New Roman"/>
                <w:sz w:val="28"/>
                <w:szCs w:val="28"/>
              </w:rPr>
            </w:pPr>
            <w:r w:rsidRPr="00E84BFF">
              <w:rPr>
                <w:rFonts w:ascii="Century Gothic" w:hAnsi="Century Gothic" w:cs="Times New Roman"/>
                <w:sz w:val="28"/>
                <w:szCs w:val="28"/>
              </w:rPr>
              <w:t>diagnósticas, para cumplir los objetivos y propósitos del Sistema Educativo Nacional. 162</w:t>
            </w:r>
          </w:p>
          <w:p w14:paraId="796E7019" w14:textId="30975857" w:rsidR="00E84BFF" w:rsidRPr="00E84BFF" w:rsidRDefault="00E84BFF" w:rsidP="00E84BFF">
            <w:pPr>
              <w:rPr>
                <w:rFonts w:ascii="Century Gothic" w:hAnsi="Century Gothic" w:cs="Times New Roman"/>
                <w:sz w:val="28"/>
                <w:szCs w:val="28"/>
              </w:rPr>
            </w:pPr>
            <w:r w:rsidRPr="00E84BFF">
              <w:rPr>
                <w:rFonts w:ascii="Century Gothic" w:hAnsi="Century Gothic" w:cs="Times New Roman"/>
                <w:sz w:val="28"/>
                <w:szCs w:val="28"/>
              </w:rPr>
              <w:t>De lo anterior, se desprende que las maestras y los maestros son profesionales de la educación que han aprendido y desarrollado conocimientos y experiencias que les otorgan una visión amplia y profunda de los procesos educativos, por lo que se</w:t>
            </w:r>
          </w:p>
          <w:p w14:paraId="31C5BFE8" w14:textId="77777777" w:rsidR="00FB6D1C" w:rsidRDefault="00E84BFF" w:rsidP="00E84BFF">
            <w:pPr>
              <w:rPr>
                <w:rFonts w:ascii="Century Gothic" w:hAnsi="Century Gothic" w:cs="Times New Roman"/>
                <w:sz w:val="28"/>
                <w:szCs w:val="28"/>
              </w:rPr>
            </w:pPr>
            <w:r w:rsidRPr="00E84BFF">
              <w:rPr>
                <w:rFonts w:ascii="Century Gothic" w:hAnsi="Century Gothic" w:cs="Times New Roman"/>
                <w:sz w:val="28"/>
                <w:szCs w:val="28"/>
              </w:rPr>
              <w:t>reconoce su condición de intelectuales que convoca a las y los estudiantes al saber disciplinar, escolar, comunitario, científico, social, y cultural.</w:t>
            </w:r>
          </w:p>
          <w:p w14:paraId="49B19D7B" w14:textId="77777777" w:rsidR="00CA4569" w:rsidRDefault="00CA4569" w:rsidP="00CA4569">
            <w:pPr>
              <w:pStyle w:val="Sinespaciado"/>
              <w:rPr>
                <w:rFonts w:ascii="Century Gothic" w:hAnsi="Century Gothic"/>
                <w:sz w:val="28"/>
                <w:szCs w:val="28"/>
                <w:lang w:val="es-ES"/>
              </w:rPr>
            </w:pPr>
          </w:p>
          <w:p w14:paraId="7D70B2DD" w14:textId="25AF1B28" w:rsidR="00CA4569" w:rsidRPr="00CA4569" w:rsidRDefault="00CA4569" w:rsidP="00CA4569">
            <w:pPr>
              <w:pStyle w:val="Sinespaciado"/>
              <w:rPr>
                <w:rFonts w:ascii="Century Gothic" w:hAnsi="Century Gothic"/>
                <w:sz w:val="28"/>
                <w:szCs w:val="28"/>
                <w:lang w:val="es-ES"/>
              </w:rPr>
            </w:pPr>
            <w:r>
              <w:rPr>
                <w:rFonts w:ascii="Century Gothic" w:hAnsi="Century Gothic"/>
                <w:sz w:val="28"/>
                <w:szCs w:val="28"/>
                <w:lang w:val="es-ES"/>
              </w:rPr>
              <w:t>E</w:t>
            </w:r>
            <w:r w:rsidRPr="00CA4569">
              <w:rPr>
                <w:rFonts w:ascii="Century Gothic" w:hAnsi="Century Gothic"/>
                <w:sz w:val="28"/>
                <w:szCs w:val="28"/>
                <w:lang w:val="es-ES"/>
              </w:rPr>
              <w:t>l paradigma humanista propone una nueva manera de enseñar, que deberá centrarse en los estudiantes para que cada uno logre sus propósitos.</w:t>
            </w:r>
          </w:p>
          <w:p w14:paraId="678ABEF8" w14:textId="4B4E38FE" w:rsidR="00CA4569" w:rsidRPr="00CA4569" w:rsidRDefault="00CA4569" w:rsidP="00CA4569">
            <w:pPr>
              <w:pStyle w:val="Sinespaciado"/>
              <w:rPr>
                <w:rFonts w:ascii="Century Gothic" w:hAnsi="Century Gothic"/>
                <w:sz w:val="28"/>
                <w:szCs w:val="28"/>
                <w:lang w:val="es-ES"/>
              </w:rPr>
            </w:pPr>
            <w:r w:rsidRPr="00CA4569">
              <w:rPr>
                <w:rFonts w:ascii="Century Gothic" w:hAnsi="Century Gothic"/>
                <w:sz w:val="28"/>
                <w:szCs w:val="28"/>
                <w:lang w:val="es-ES"/>
              </w:rPr>
              <w:t>Actualmente estamos trabajando con el plan de estudios 2017 pero existen cambios en la educación incluyendo los planes de estudio por lo tanto enfrentamos una confusión al presentarse el nuevo programa de estudios 2022 porque a</w:t>
            </w:r>
            <w:r>
              <w:rPr>
                <w:rFonts w:ascii="Century Gothic" w:hAnsi="Century Gothic"/>
                <w:sz w:val="28"/>
                <w:szCs w:val="28"/>
                <w:lang w:val="es-ES"/>
              </w:rPr>
              <w:t>un</w:t>
            </w:r>
            <w:r w:rsidRPr="00CA4569">
              <w:rPr>
                <w:rFonts w:ascii="Century Gothic" w:hAnsi="Century Gothic"/>
                <w:sz w:val="28"/>
                <w:szCs w:val="28"/>
                <w:lang w:val="es-ES"/>
              </w:rPr>
              <w:t xml:space="preserve">que conozcamos el plan de estudios en el que estamos trabajando debemos de identificar y aprender lo que este nuevo plan de estudios propone a partir de entender, atender las condiciones de equidad, inclusividad, excelencia </w:t>
            </w:r>
            <w:r w:rsidRPr="00CA4569">
              <w:rPr>
                <w:rFonts w:ascii="Century Gothic" w:hAnsi="Century Gothic"/>
                <w:sz w:val="28"/>
                <w:szCs w:val="28"/>
                <w:lang w:val="es-ES"/>
              </w:rPr>
              <w:lastRenderedPageBreak/>
              <w:t>académica y mejora continua, partiendo de la relación del alumno con la comunidad a la que pertenece.</w:t>
            </w:r>
          </w:p>
          <w:p w14:paraId="6A6E09DD" w14:textId="553D1F02" w:rsidR="00CA4569" w:rsidRPr="00CA4569" w:rsidRDefault="00CA4569" w:rsidP="00E84BFF">
            <w:pPr>
              <w:rPr>
                <w:rFonts w:ascii="Century Gothic" w:hAnsi="Century Gothic" w:cs="Times New Roman"/>
                <w:sz w:val="28"/>
                <w:szCs w:val="28"/>
                <w:lang w:val="es-ES"/>
              </w:rPr>
            </w:pPr>
          </w:p>
        </w:tc>
      </w:tr>
    </w:tbl>
    <w:p w14:paraId="428ED516" w14:textId="77777777" w:rsidR="00E84BFF" w:rsidRDefault="00E84BFF" w:rsidP="00FB6D1C">
      <w:pPr>
        <w:jc w:val="center"/>
        <w:rPr>
          <w:rFonts w:ascii="Century Gothic" w:hAnsi="Century Gothic" w:cs="Times New Roman"/>
          <w:b/>
          <w:bCs/>
          <w:sz w:val="24"/>
          <w:szCs w:val="24"/>
        </w:rPr>
      </w:pPr>
    </w:p>
    <w:p w14:paraId="042B7E4E" w14:textId="77777777" w:rsidR="00CA4569" w:rsidRDefault="00CA4569" w:rsidP="00FB6D1C">
      <w:pPr>
        <w:jc w:val="center"/>
        <w:rPr>
          <w:rFonts w:ascii="Century Gothic" w:hAnsi="Century Gothic" w:cs="Times New Roman"/>
          <w:b/>
          <w:bCs/>
          <w:sz w:val="24"/>
          <w:szCs w:val="24"/>
        </w:rPr>
      </w:pPr>
    </w:p>
    <w:p w14:paraId="73A13C5B" w14:textId="77777777" w:rsidR="00CA4569" w:rsidRDefault="00CA4569" w:rsidP="00FB6D1C">
      <w:pPr>
        <w:jc w:val="center"/>
        <w:rPr>
          <w:rFonts w:ascii="Century Gothic" w:hAnsi="Century Gothic" w:cs="Times New Roman"/>
          <w:b/>
          <w:bCs/>
          <w:sz w:val="24"/>
          <w:szCs w:val="24"/>
        </w:rPr>
      </w:pPr>
    </w:p>
    <w:p w14:paraId="7D0E43C6" w14:textId="77777777" w:rsidR="00CA4569" w:rsidRPr="00E84BFF" w:rsidRDefault="00CA4569" w:rsidP="00FB6D1C">
      <w:pPr>
        <w:jc w:val="center"/>
        <w:rPr>
          <w:rFonts w:ascii="Century Gothic" w:hAnsi="Century Gothic" w:cs="Times New Roman"/>
          <w:b/>
          <w:bCs/>
          <w:sz w:val="24"/>
          <w:szCs w:val="24"/>
        </w:rPr>
      </w:pPr>
    </w:p>
    <w:p w14:paraId="75E8158F" w14:textId="7C9193F1" w:rsidR="00FB6D1C" w:rsidRDefault="00FB6D1C" w:rsidP="00FB6D1C">
      <w:pPr>
        <w:jc w:val="center"/>
        <w:rPr>
          <w:rFonts w:ascii="Times New Roman" w:hAnsi="Times New Roman" w:cs="Times New Roman"/>
          <w:b/>
          <w:bCs/>
          <w:sz w:val="28"/>
          <w:szCs w:val="28"/>
        </w:rPr>
      </w:pPr>
      <w:r w:rsidRPr="00FB6D1C">
        <w:rPr>
          <w:rFonts w:ascii="Times New Roman" w:hAnsi="Times New Roman" w:cs="Times New Roman"/>
          <w:b/>
          <w:bCs/>
          <w:sz w:val="28"/>
          <w:szCs w:val="28"/>
        </w:rPr>
        <w:t>Plan de estudios 2022</w:t>
      </w:r>
    </w:p>
    <w:p w14:paraId="77E5746A" w14:textId="6C00DE6C" w:rsidR="00E84BFF" w:rsidRDefault="00CA4569" w:rsidP="00FB6D1C">
      <w:pPr>
        <w:jc w:val="center"/>
        <w:rPr>
          <w:rFonts w:ascii="Times New Roman" w:hAnsi="Times New Roman" w:cs="Times New Roman"/>
          <w:b/>
          <w:bCs/>
          <w:sz w:val="28"/>
          <w:szCs w:val="28"/>
        </w:rPr>
      </w:pPr>
      <w:hyperlink r:id="rId11" w:history="1">
        <w:r w:rsidR="00E84BFF" w:rsidRPr="00BA255D">
          <w:rPr>
            <w:rStyle w:val="Hipervnculo"/>
            <w:rFonts w:ascii="Times New Roman" w:hAnsi="Times New Roman" w:cs="Times New Roman"/>
            <w:b/>
            <w:bCs/>
            <w:sz w:val="28"/>
            <w:szCs w:val="28"/>
          </w:rPr>
          <w:t>http://187.141.233.82/sistema/Data/tareas/enep-00046/_Actividad/25681/26442.pdf</w:t>
        </w:r>
      </w:hyperlink>
    </w:p>
    <w:p w14:paraId="095BC5A7" w14:textId="30ED3AA4" w:rsidR="00E84BFF" w:rsidRDefault="00CA4569" w:rsidP="00FB6D1C">
      <w:pPr>
        <w:jc w:val="center"/>
        <w:rPr>
          <w:rFonts w:ascii="Times New Roman" w:hAnsi="Times New Roman" w:cs="Times New Roman"/>
          <w:b/>
          <w:bCs/>
          <w:sz w:val="28"/>
          <w:szCs w:val="28"/>
        </w:rPr>
      </w:pPr>
      <w:hyperlink r:id="rId12" w:history="1">
        <w:r w:rsidR="00E84BFF" w:rsidRPr="00BA255D">
          <w:rPr>
            <w:rStyle w:val="Hipervnculo"/>
            <w:rFonts w:ascii="Times New Roman" w:hAnsi="Times New Roman" w:cs="Times New Roman"/>
            <w:b/>
            <w:bCs/>
            <w:sz w:val="28"/>
            <w:szCs w:val="28"/>
          </w:rPr>
          <w:t>http://187.141.233.82/sistema/Data/tareas/enep-00046/_Actividad/25682/26443.pdf</w:t>
        </w:r>
      </w:hyperlink>
    </w:p>
    <w:p w14:paraId="17EF6113" w14:textId="556BD1EB" w:rsidR="00ED0106" w:rsidRDefault="00ED0106" w:rsidP="00FB6D1C">
      <w:pPr>
        <w:jc w:val="center"/>
        <w:rPr>
          <w:rFonts w:ascii="Times New Roman" w:hAnsi="Times New Roman" w:cs="Times New Roman"/>
          <w:b/>
          <w:bCs/>
          <w:sz w:val="28"/>
          <w:szCs w:val="28"/>
        </w:rPr>
      </w:pPr>
    </w:p>
    <w:p w14:paraId="2461112B" w14:textId="3ADC6E92" w:rsidR="00ED0106" w:rsidRDefault="00ED0106" w:rsidP="00FB6D1C">
      <w:pPr>
        <w:jc w:val="center"/>
        <w:rPr>
          <w:rFonts w:ascii="Times New Roman" w:hAnsi="Times New Roman" w:cs="Times New Roman"/>
          <w:b/>
          <w:bCs/>
          <w:sz w:val="28"/>
          <w:szCs w:val="28"/>
        </w:rPr>
      </w:pPr>
    </w:p>
    <w:p w14:paraId="358AA99C" w14:textId="2399A5F5" w:rsidR="00ED0106" w:rsidRDefault="00ED0106" w:rsidP="00FB6D1C">
      <w:pPr>
        <w:jc w:val="center"/>
        <w:rPr>
          <w:rFonts w:ascii="Times New Roman" w:hAnsi="Times New Roman" w:cs="Times New Roman"/>
          <w:b/>
          <w:bCs/>
          <w:sz w:val="28"/>
          <w:szCs w:val="28"/>
        </w:rPr>
      </w:pPr>
    </w:p>
    <w:p w14:paraId="58806B23" w14:textId="519B1453" w:rsidR="00ED0106" w:rsidRDefault="00ED0106" w:rsidP="00FB6D1C">
      <w:pPr>
        <w:jc w:val="center"/>
        <w:rPr>
          <w:rFonts w:ascii="Times New Roman" w:hAnsi="Times New Roman" w:cs="Times New Roman"/>
          <w:b/>
          <w:bCs/>
          <w:sz w:val="28"/>
          <w:szCs w:val="28"/>
        </w:rPr>
      </w:pPr>
    </w:p>
    <w:p w14:paraId="4567A299" w14:textId="33D59762" w:rsidR="00ED0106" w:rsidRDefault="00ED0106" w:rsidP="00FB6D1C">
      <w:pPr>
        <w:jc w:val="center"/>
        <w:rPr>
          <w:rFonts w:ascii="Times New Roman" w:hAnsi="Times New Roman" w:cs="Times New Roman"/>
          <w:b/>
          <w:bCs/>
          <w:sz w:val="28"/>
          <w:szCs w:val="28"/>
        </w:rPr>
      </w:pPr>
    </w:p>
    <w:p w14:paraId="241D4F3D" w14:textId="77777777" w:rsidR="00ED0106" w:rsidRDefault="00ED0106" w:rsidP="00FB6D1C">
      <w:pPr>
        <w:jc w:val="center"/>
        <w:rPr>
          <w:rFonts w:ascii="Times New Roman" w:hAnsi="Times New Roman" w:cs="Times New Roman"/>
          <w:b/>
          <w:bCs/>
          <w:sz w:val="28"/>
          <w:szCs w:val="28"/>
        </w:rPr>
      </w:pPr>
    </w:p>
    <w:p w14:paraId="79605ECC" w14:textId="77777777" w:rsidR="00ED0106" w:rsidRPr="007406F7" w:rsidRDefault="00ED0106" w:rsidP="00ED0106">
      <w:pPr>
        <w:jc w:val="center"/>
        <w:rPr>
          <w:rFonts w:ascii="Times New Roman" w:hAnsi="Times New Roman" w:cs="Times New Roman"/>
          <w:sz w:val="24"/>
          <w:szCs w:val="24"/>
        </w:rPr>
      </w:pPr>
      <w:r w:rsidRPr="007406F7">
        <w:rPr>
          <w:rFonts w:ascii="Times New Roman" w:hAnsi="Times New Roman" w:cs="Times New Roman"/>
          <w:sz w:val="24"/>
          <w:szCs w:val="24"/>
        </w:rPr>
        <w:t>ACTIVIDAD DE UNIDAD</w:t>
      </w:r>
    </w:p>
    <w:p w14:paraId="0121B2FF" w14:textId="77777777" w:rsidR="00ED0106" w:rsidRPr="007406F7" w:rsidRDefault="00ED0106" w:rsidP="00ED0106">
      <w:pPr>
        <w:jc w:val="both"/>
        <w:rPr>
          <w:rFonts w:ascii="Times New Roman" w:hAnsi="Times New Roman" w:cs="Times New Roman"/>
          <w:sz w:val="24"/>
          <w:szCs w:val="24"/>
        </w:rPr>
      </w:pPr>
      <w:r w:rsidRPr="007406F7">
        <w:rPr>
          <w:rFonts w:ascii="Times New Roman" w:hAnsi="Times New Roman" w:cs="Times New Roman"/>
          <w:sz w:val="24"/>
          <w:szCs w:val="24"/>
        </w:rPr>
        <w:t>Elaborar un cuadro sinóptico</w:t>
      </w:r>
      <w:r>
        <w:rPr>
          <w:rFonts w:ascii="Times New Roman" w:hAnsi="Times New Roman" w:cs="Times New Roman"/>
          <w:sz w:val="24"/>
          <w:szCs w:val="24"/>
        </w:rPr>
        <w:t xml:space="preserve"> o tabla </w:t>
      </w:r>
      <w:r w:rsidRPr="007406F7">
        <w:rPr>
          <w:rFonts w:ascii="Times New Roman" w:hAnsi="Times New Roman" w:cs="Times New Roman"/>
          <w:sz w:val="24"/>
          <w:szCs w:val="24"/>
        </w:rPr>
        <w:t xml:space="preserve">digital acerca del </w:t>
      </w:r>
      <w:r>
        <w:rPr>
          <w:rFonts w:ascii="Times New Roman" w:hAnsi="Times New Roman" w:cs="Times New Roman"/>
          <w:sz w:val="24"/>
          <w:szCs w:val="24"/>
        </w:rPr>
        <w:t xml:space="preserve">plan de estudios 2022, </w:t>
      </w:r>
      <w:r w:rsidRPr="007406F7">
        <w:rPr>
          <w:rFonts w:ascii="Times New Roman" w:hAnsi="Times New Roman" w:cs="Times New Roman"/>
          <w:sz w:val="24"/>
          <w:szCs w:val="24"/>
        </w:rPr>
        <w:t>donde describa los siguientes puntos:</w:t>
      </w:r>
    </w:p>
    <w:p w14:paraId="04DC8FEC" w14:textId="77777777" w:rsidR="00ED0106" w:rsidRDefault="00ED0106" w:rsidP="00ED0106">
      <w:pPr>
        <w:pStyle w:val="Prrafodelista"/>
        <w:numPr>
          <w:ilvl w:val="0"/>
          <w:numId w:val="4"/>
        </w:numPr>
        <w:spacing w:line="256" w:lineRule="auto"/>
        <w:jc w:val="both"/>
        <w:rPr>
          <w:sz w:val="24"/>
          <w:szCs w:val="24"/>
        </w:rPr>
      </w:pPr>
      <w:r w:rsidRPr="007406F7">
        <w:rPr>
          <w:sz w:val="24"/>
          <w:szCs w:val="24"/>
        </w:rPr>
        <w:t xml:space="preserve">Explica el </w:t>
      </w:r>
      <w:r>
        <w:rPr>
          <w:sz w:val="24"/>
          <w:szCs w:val="24"/>
        </w:rPr>
        <w:t xml:space="preserve">enfoque y principios pedagógicos </w:t>
      </w:r>
    </w:p>
    <w:p w14:paraId="1C89F574" w14:textId="77777777" w:rsidR="00ED0106" w:rsidRDefault="00ED0106" w:rsidP="00ED0106">
      <w:pPr>
        <w:pStyle w:val="Prrafodelista"/>
        <w:numPr>
          <w:ilvl w:val="0"/>
          <w:numId w:val="4"/>
        </w:numPr>
        <w:spacing w:line="256" w:lineRule="auto"/>
        <w:jc w:val="both"/>
        <w:rPr>
          <w:sz w:val="24"/>
          <w:szCs w:val="24"/>
        </w:rPr>
      </w:pPr>
      <w:r>
        <w:rPr>
          <w:sz w:val="24"/>
          <w:szCs w:val="24"/>
        </w:rPr>
        <w:t>Perfil de egreso</w:t>
      </w:r>
    </w:p>
    <w:p w14:paraId="739A2243" w14:textId="77777777" w:rsidR="00ED0106" w:rsidRDefault="00ED0106" w:rsidP="00ED0106">
      <w:pPr>
        <w:pStyle w:val="Prrafodelista"/>
        <w:numPr>
          <w:ilvl w:val="0"/>
          <w:numId w:val="4"/>
        </w:numPr>
        <w:spacing w:line="256" w:lineRule="auto"/>
        <w:jc w:val="both"/>
        <w:rPr>
          <w:sz w:val="24"/>
          <w:szCs w:val="24"/>
        </w:rPr>
      </w:pPr>
      <w:r>
        <w:rPr>
          <w:sz w:val="24"/>
          <w:szCs w:val="24"/>
        </w:rPr>
        <w:t>Organización de los grados de Educación Básica</w:t>
      </w:r>
    </w:p>
    <w:p w14:paraId="7B214AF3" w14:textId="77777777" w:rsidR="00ED0106" w:rsidRDefault="00ED0106" w:rsidP="00ED0106">
      <w:pPr>
        <w:pStyle w:val="Prrafodelista"/>
        <w:numPr>
          <w:ilvl w:val="0"/>
          <w:numId w:val="4"/>
        </w:numPr>
        <w:spacing w:line="256" w:lineRule="auto"/>
        <w:jc w:val="both"/>
        <w:rPr>
          <w:sz w:val="24"/>
          <w:szCs w:val="24"/>
        </w:rPr>
      </w:pPr>
      <w:r>
        <w:rPr>
          <w:sz w:val="24"/>
          <w:szCs w:val="24"/>
        </w:rPr>
        <w:lastRenderedPageBreak/>
        <w:t>Campos formativos y asignaturas asociadas</w:t>
      </w:r>
    </w:p>
    <w:p w14:paraId="4745565F" w14:textId="77777777" w:rsidR="00ED0106" w:rsidRDefault="00ED0106" w:rsidP="00ED0106">
      <w:pPr>
        <w:pStyle w:val="Prrafodelista"/>
        <w:numPr>
          <w:ilvl w:val="0"/>
          <w:numId w:val="4"/>
        </w:numPr>
        <w:spacing w:line="256" w:lineRule="auto"/>
        <w:jc w:val="both"/>
        <w:rPr>
          <w:sz w:val="24"/>
          <w:szCs w:val="24"/>
        </w:rPr>
      </w:pPr>
      <w:r>
        <w:rPr>
          <w:sz w:val="24"/>
          <w:szCs w:val="24"/>
        </w:rPr>
        <w:t>Organizadores curriculares (los elementos del programa sintético, que incluye cada campo formativo).</w:t>
      </w:r>
    </w:p>
    <w:p w14:paraId="4A0F4B5C" w14:textId="77777777" w:rsidR="00ED0106" w:rsidRDefault="00ED0106" w:rsidP="00ED0106">
      <w:pPr>
        <w:pStyle w:val="Prrafodelista"/>
        <w:numPr>
          <w:ilvl w:val="0"/>
          <w:numId w:val="4"/>
        </w:numPr>
        <w:spacing w:line="256" w:lineRule="auto"/>
        <w:jc w:val="both"/>
        <w:rPr>
          <w:sz w:val="24"/>
          <w:szCs w:val="24"/>
        </w:rPr>
      </w:pPr>
      <w:r>
        <w:rPr>
          <w:sz w:val="24"/>
          <w:szCs w:val="24"/>
        </w:rPr>
        <w:t>Transversalidad (7 ejes articuladores)</w:t>
      </w:r>
    </w:p>
    <w:p w14:paraId="47CAE1E3" w14:textId="77777777" w:rsidR="00ED0106" w:rsidRPr="007406F7" w:rsidRDefault="00ED0106" w:rsidP="00ED0106">
      <w:pPr>
        <w:pStyle w:val="Prrafodelista"/>
        <w:numPr>
          <w:ilvl w:val="0"/>
          <w:numId w:val="4"/>
        </w:numPr>
        <w:spacing w:line="256" w:lineRule="auto"/>
        <w:jc w:val="both"/>
        <w:rPr>
          <w:sz w:val="24"/>
          <w:szCs w:val="24"/>
        </w:rPr>
      </w:pPr>
      <w:r>
        <w:rPr>
          <w:sz w:val="24"/>
          <w:szCs w:val="24"/>
        </w:rPr>
        <w:t>Evaluación</w:t>
      </w:r>
    </w:p>
    <w:p w14:paraId="4D4896A8" w14:textId="77777777" w:rsidR="00ED0106" w:rsidRPr="007406F7" w:rsidRDefault="00ED0106" w:rsidP="00ED0106">
      <w:pPr>
        <w:pStyle w:val="Prrafodelista"/>
        <w:numPr>
          <w:ilvl w:val="0"/>
          <w:numId w:val="4"/>
        </w:numPr>
        <w:spacing w:line="256" w:lineRule="auto"/>
        <w:jc w:val="both"/>
        <w:rPr>
          <w:rFonts w:ascii="Times New Roman" w:hAnsi="Times New Roman" w:cs="Times New Roman"/>
          <w:sz w:val="24"/>
          <w:szCs w:val="24"/>
        </w:rPr>
      </w:pPr>
      <w:r w:rsidRPr="007406F7">
        <w:rPr>
          <w:sz w:val="24"/>
          <w:szCs w:val="24"/>
        </w:rPr>
        <w:t>Plantea los dilemas y las tensiones a los que se enfrentan los docentes para concretar los enfoques y orientaciones didácticas en el aula.</w:t>
      </w:r>
    </w:p>
    <w:p w14:paraId="74C89906" w14:textId="77777777" w:rsidR="00ED0106" w:rsidRDefault="00ED0106" w:rsidP="00ED0106">
      <w:pPr>
        <w:jc w:val="both"/>
        <w:rPr>
          <w:rFonts w:ascii="Times New Roman" w:hAnsi="Times New Roman" w:cs="Times New Roman"/>
          <w:sz w:val="24"/>
          <w:szCs w:val="24"/>
        </w:rPr>
      </w:pPr>
    </w:p>
    <w:p w14:paraId="4EA36DE5" w14:textId="77777777" w:rsidR="00ED0106" w:rsidRDefault="00ED0106" w:rsidP="00ED0106">
      <w:pPr>
        <w:jc w:val="both"/>
        <w:rPr>
          <w:rFonts w:ascii="Times New Roman" w:hAnsi="Times New Roman" w:cs="Times New Roman"/>
          <w:sz w:val="24"/>
          <w:szCs w:val="24"/>
        </w:rPr>
      </w:pPr>
      <w:r>
        <w:rPr>
          <w:rFonts w:ascii="Times New Roman" w:hAnsi="Times New Roman" w:cs="Times New Roman"/>
          <w:sz w:val="24"/>
          <w:szCs w:val="24"/>
        </w:rPr>
        <w:t>Rúbrica para evaluar cuadro sinóptico:</w:t>
      </w:r>
    </w:p>
    <w:p w14:paraId="6EBBC7A0" w14:textId="77777777" w:rsidR="00ED0106" w:rsidRDefault="00ED0106" w:rsidP="00ED0106">
      <w:pPr>
        <w:jc w:val="both"/>
        <w:rPr>
          <w:rFonts w:ascii="Times New Roman" w:hAnsi="Times New Roman" w:cs="Times New Roman"/>
          <w:sz w:val="24"/>
          <w:szCs w:val="24"/>
        </w:rPr>
      </w:pPr>
    </w:p>
    <w:tbl>
      <w:tblPr>
        <w:tblStyle w:val="Tablaconcuadrcula"/>
        <w:tblW w:w="5000" w:type="pct"/>
        <w:jc w:val="center"/>
        <w:tblLook w:val="04A0" w:firstRow="1" w:lastRow="0" w:firstColumn="1" w:lastColumn="0" w:noHBand="0" w:noVBand="1"/>
      </w:tblPr>
      <w:tblGrid>
        <w:gridCol w:w="2460"/>
        <w:gridCol w:w="2878"/>
        <w:gridCol w:w="2745"/>
        <w:gridCol w:w="2878"/>
        <w:gridCol w:w="2601"/>
      </w:tblGrid>
      <w:tr w:rsidR="00ED0106" w:rsidRPr="00D54D6A" w14:paraId="2D3FF50E" w14:textId="77777777" w:rsidTr="006C11CB">
        <w:trPr>
          <w:jc w:val="center"/>
        </w:trPr>
        <w:tc>
          <w:tcPr>
            <w:tcW w:w="907" w:type="pct"/>
          </w:tcPr>
          <w:p w14:paraId="34E6325F" w14:textId="77777777" w:rsidR="00ED0106" w:rsidRPr="00D54D6A" w:rsidRDefault="00ED0106" w:rsidP="006C11CB">
            <w:pPr>
              <w:jc w:val="center"/>
              <w:rPr>
                <w:b/>
                <w:bCs/>
                <w:sz w:val="20"/>
                <w:szCs w:val="20"/>
              </w:rPr>
            </w:pPr>
            <w:r w:rsidRPr="00D54D6A">
              <w:rPr>
                <w:b/>
                <w:bCs/>
                <w:sz w:val="20"/>
                <w:szCs w:val="20"/>
              </w:rPr>
              <w:t>RUBRO</w:t>
            </w:r>
          </w:p>
        </w:tc>
        <w:tc>
          <w:tcPr>
            <w:tcW w:w="1061" w:type="pct"/>
          </w:tcPr>
          <w:p w14:paraId="7E273A0E" w14:textId="77777777" w:rsidR="00ED0106" w:rsidRPr="00D54D6A" w:rsidRDefault="00ED0106" w:rsidP="006C11CB">
            <w:pPr>
              <w:jc w:val="center"/>
              <w:rPr>
                <w:b/>
                <w:bCs/>
                <w:sz w:val="20"/>
                <w:szCs w:val="20"/>
              </w:rPr>
            </w:pPr>
            <w:r w:rsidRPr="00D54D6A">
              <w:rPr>
                <w:b/>
                <w:bCs/>
                <w:sz w:val="20"/>
                <w:szCs w:val="20"/>
              </w:rPr>
              <w:t>MUY BIEN</w:t>
            </w:r>
          </w:p>
          <w:p w14:paraId="41EB193B" w14:textId="77777777" w:rsidR="00ED0106" w:rsidRPr="00D54D6A" w:rsidRDefault="00ED0106" w:rsidP="006C11CB">
            <w:pPr>
              <w:jc w:val="center"/>
              <w:rPr>
                <w:b/>
                <w:bCs/>
                <w:sz w:val="20"/>
                <w:szCs w:val="20"/>
              </w:rPr>
            </w:pPr>
            <w:r w:rsidRPr="00D54D6A">
              <w:rPr>
                <w:b/>
                <w:bCs/>
                <w:sz w:val="20"/>
                <w:szCs w:val="20"/>
              </w:rPr>
              <w:t>10- 9</w:t>
            </w:r>
          </w:p>
        </w:tc>
        <w:tc>
          <w:tcPr>
            <w:tcW w:w="1012" w:type="pct"/>
          </w:tcPr>
          <w:p w14:paraId="7333C6DF" w14:textId="77777777" w:rsidR="00ED0106" w:rsidRPr="00D54D6A" w:rsidRDefault="00ED0106" w:rsidP="006C11CB">
            <w:pPr>
              <w:jc w:val="center"/>
              <w:rPr>
                <w:b/>
                <w:bCs/>
                <w:sz w:val="20"/>
                <w:szCs w:val="20"/>
              </w:rPr>
            </w:pPr>
            <w:r w:rsidRPr="00D54D6A">
              <w:rPr>
                <w:b/>
                <w:bCs/>
                <w:sz w:val="20"/>
                <w:szCs w:val="20"/>
              </w:rPr>
              <w:t>BIEN</w:t>
            </w:r>
          </w:p>
          <w:p w14:paraId="24613C12" w14:textId="77777777" w:rsidR="00ED0106" w:rsidRPr="00D54D6A" w:rsidRDefault="00ED0106" w:rsidP="006C11CB">
            <w:pPr>
              <w:jc w:val="center"/>
              <w:rPr>
                <w:b/>
                <w:bCs/>
                <w:sz w:val="20"/>
                <w:szCs w:val="20"/>
              </w:rPr>
            </w:pPr>
            <w:r w:rsidRPr="00D54D6A">
              <w:rPr>
                <w:b/>
                <w:bCs/>
                <w:sz w:val="20"/>
                <w:szCs w:val="20"/>
              </w:rPr>
              <w:t>8-7</w:t>
            </w:r>
          </w:p>
        </w:tc>
        <w:tc>
          <w:tcPr>
            <w:tcW w:w="1061" w:type="pct"/>
          </w:tcPr>
          <w:p w14:paraId="414A371C" w14:textId="77777777" w:rsidR="00ED0106" w:rsidRPr="00D54D6A" w:rsidRDefault="00ED0106" w:rsidP="006C11CB">
            <w:pPr>
              <w:jc w:val="center"/>
              <w:rPr>
                <w:b/>
                <w:bCs/>
                <w:sz w:val="20"/>
                <w:szCs w:val="20"/>
              </w:rPr>
            </w:pPr>
            <w:r w:rsidRPr="00D54D6A">
              <w:rPr>
                <w:b/>
                <w:bCs/>
                <w:sz w:val="20"/>
                <w:szCs w:val="20"/>
              </w:rPr>
              <w:t>SUFICIENTE</w:t>
            </w:r>
          </w:p>
          <w:p w14:paraId="57310C54" w14:textId="77777777" w:rsidR="00ED0106" w:rsidRPr="00D54D6A" w:rsidRDefault="00ED0106" w:rsidP="006C11CB">
            <w:pPr>
              <w:jc w:val="center"/>
              <w:rPr>
                <w:b/>
                <w:bCs/>
                <w:sz w:val="20"/>
                <w:szCs w:val="20"/>
              </w:rPr>
            </w:pPr>
            <w:r w:rsidRPr="00D54D6A">
              <w:rPr>
                <w:b/>
                <w:bCs/>
                <w:sz w:val="20"/>
                <w:szCs w:val="20"/>
              </w:rPr>
              <w:t>6</w:t>
            </w:r>
          </w:p>
        </w:tc>
        <w:tc>
          <w:tcPr>
            <w:tcW w:w="959" w:type="pct"/>
          </w:tcPr>
          <w:p w14:paraId="0FB2E695" w14:textId="77777777" w:rsidR="00ED0106" w:rsidRPr="00D54D6A" w:rsidRDefault="00ED0106" w:rsidP="006C11CB">
            <w:pPr>
              <w:jc w:val="center"/>
              <w:rPr>
                <w:b/>
                <w:bCs/>
                <w:sz w:val="20"/>
                <w:szCs w:val="20"/>
              </w:rPr>
            </w:pPr>
            <w:r w:rsidRPr="00D54D6A">
              <w:rPr>
                <w:b/>
                <w:bCs/>
                <w:sz w:val="20"/>
                <w:szCs w:val="20"/>
              </w:rPr>
              <w:t>INSUFICIENTE</w:t>
            </w:r>
          </w:p>
          <w:p w14:paraId="5D44A377" w14:textId="77777777" w:rsidR="00ED0106" w:rsidRPr="00D54D6A" w:rsidRDefault="00ED0106" w:rsidP="006C11CB">
            <w:pPr>
              <w:jc w:val="center"/>
              <w:rPr>
                <w:b/>
                <w:bCs/>
                <w:sz w:val="20"/>
                <w:szCs w:val="20"/>
              </w:rPr>
            </w:pPr>
            <w:r w:rsidRPr="00D54D6A">
              <w:rPr>
                <w:b/>
                <w:bCs/>
                <w:sz w:val="20"/>
                <w:szCs w:val="20"/>
              </w:rPr>
              <w:t>5</w:t>
            </w:r>
          </w:p>
        </w:tc>
      </w:tr>
      <w:tr w:rsidR="00ED0106" w:rsidRPr="00D54D6A" w14:paraId="523AF0F8" w14:textId="77777777" w:rsidTr="00ED0106">
        <w:trPr>
          <w:jc w:val="center"/>
        </w:trPr>
        <w:tc>
          <w:tcPr>
            <w:tcW w:w="907" w:type="pct"/>
          </w:tcPr>
          <w:p w14:paraId="09A8F859" w14:textId="77777777" w:rsidR="00ED0106" w:rsidRDefault="00ED0106" w:rsidP="006C11CB">
            <w:pPr>
              <w:jc w:val="both"/>
              <w:rPr>
                <w:sz w:val="20"/>
                <w:szCs w:val="20"/>
              </w:rPr>
            </w:pPr>
            <w:r w:rsidRPr="00D54D6A">
              <w:rPr>
                <w:sz w:val="20"/>
                <w:szCs w:val="20"/>
              </w:rPr>
              <w:t>Establece</w:t>
            </w:r>
            <w:r>
              <w:rPr>
                <w:sz w:val="20"/>
                <w:szCs w:val="20"/>
              </w:rPr>
              <w:t xml:space="preserve"> </w:t>
            </w:r>
            <w:r w:rsidRPr="00D54D6A">
              <w:rPr>
                <w:sz w:val="20"/>
                <w:szCs w:val="20"/>
              </w:rPr>
              <w:t>los</w:t>
            </w:r>
            <w:r>
              <w:rPr>
                <w:sz w:val="20"/>
                <w:szCs w:val="20"/>
              </w:rPr>
              <w:t xml:space="preserve"> </w:t>
            </w:r>
            <w:r w:rsidRPr="00D54D6A">
              <w:rPr>
                <w:sz w:val="20"/>
                <w:szCs w:val="20"/>
              </w:rPr>
              <w:t>elementos y características a comparar</w:t>
            </w:r>
            <w:r>
              <w:rPr>
                <w:sz w:val="20"/>
                <w:szCs w:val="20"/>
              </w:rPr>
              <w:t>.</w:t>
            </w:r>
          </w:p>
          <w:p w14:paraId="324C3524" w14:textId="77777777" w:rsidR="00ED0106" w:rsidRPr="00D54D6A" w:rsidRDefault="00ED0106" w:rsidP="006C11CB">
            <w:pPr>
              <w:jc w:val="both"/>
              <w:rPr>
                <w:sz w:val="20"/>
                <w:szCs w:val="20"/>
              </w:rPr>
            </w:pPr>
          </w:p>
        </w:tc>
        <w:tc>
          <w:tcPr>
            <w:tcW w:w="1061" w:type="pct"/>
            <w:shd w:val="clear" w:color="auto" w:fill="DEEAF6" w:themeFill="accent5" w:themeFillTint="33"/>
          </w:tcPr>
          <w:p w14:paraId="309F7282" w14:textId="77777777" w:rsidR="00ED0106" w:rsidRPr="00D54D6A" w:rsidRDefault="00ED0106" w:rsidP="006C11CB">
            <w:pPr>
              <w:shd w:val="clear" w:color="auto" w:fill="FFFFFF"/>
              <w:jc w:val="both"/>
              <w:rPr>
                <w:rFonts w:ascii="Arial" w:eastAsia="Times New Roman" w:hAnsi="Arial" w:cs="Arial"/>
                <w:sz w:val="20"/>
                <w:szCs w:val="20"/>
                <w:lang w:eastAsia="es-MX"/>
              </w:rPr>
            </w:pPr>
            <w:r w:rsidRPr="00D54D6A">
              <w:rPr>
                <w:rFonts w:ascii="Arial" w:eastAsia="Times New Roman" w:hAnsi="Arial" w:cs="Arial"/>
                <w:sz w:val="20"/>
                <w:szCs w:val="20"/>
                <w:lang w:eastAsia="es-MX"/>
              </w:rPr>
              <w:t>Identifica   todos   los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elementos         de</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comparación.  Las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características elegidas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son   suficientes</w:t>
            </w:r>
            <w:r>
              <w:rPr>
                <w:rFonts w:ascii="Arial" w:eastAsia="Times New Roman" w:hAnsi="Arial" w:cs="Arial"/>
                <w:sz w:val="20"/>
                <w:szCs w:val="20"/>
                <w:lang w:eastAsia="es-MX"/>
              </w:rPr>
              <w:t xml:space="preserve"> y </w:t>
            </w:r>
            <w:r w:rsidRPr="00D54D6A">
              <w:rPr>
                <w:rFonts w:ascii="Arial" w:eastAsia="Times New Roman" w:hAnsi="Arial" w:cs="Arial"/>
                <w:sz w:val="20"/>
                <w:szCs w:val="20"/>
                <w:lang w:eastAsia="es-MX"/>
              </w:rPr>
              <w:t>pertinentes</w:t>
            </w:r>
            <w:r>
              <w:rPr>
                <w:rFonts w:ascii="Arial" w:eastAsia="Times New Roman" w:hAnsi="Arial" w:cs="Arial"/>
                <w:sz w:val="20"/>
                <w:szCs w:val="20"/>
                <w:lang w:eastAsia="es-MX"/>
              </w:rPr>
              <w:t>.</w:t>
            </w:r>
          </w:p>
          <w:p w14:paraId="6FF8A331" w14:textId="77777777" w:rsidR="00ED0106" w:rsidRPr="00D54D6A" w:rsidRDefault="00ED0106" w:rsidP="006C11CB">
            <w:pPr>
              <w:jc w:val="both"/>
              <w:rPr>
                <w:sz w:val="20"/>
                <w:szCs w:val="20"/>
              </w:rPr>
            </w:pPr>
          </w:p>
        </w:tc>
        <w:tc>
          <w:tcPr>
            <w:tcW w:w="1012" w:type="pct"/>
          </w:tcPr>
          <w:p w14:paraId="309970F5" w14:textId="77777777" w:rsidR="00ED0106" w:rsidRPr="00D54D6A" w:rsidRDefault="00ED0106" w:rsidP="006C11CB">
            <w:pPr>
              <w:shd w:val="clear" w:color="auto" w:fill="FFFFFF"/>
              <w:jc w:val="both"/>
              <w:rPr>
                <w:rFonts w:ascii="Arial" w:eastAsia="Times New Roman" w:hAnsi="Arial" w:cs="Arial"/>
                <w:sz w:val="20"/>
                <w:szCs w:val="20"/>
                <w:lang w:eastAsia="es-MX"/>
              </w:rPr>
            </w:pPr>
            <w:r w:rsidRPr="00D54D6A">
              <w:rPr>
                <w:rFonts w:ascii="Arial" w:eastAsia="Times New Roman" w:hAnsi="Arial" w:cs="Arial"/>
                <w:sz w:val="20"/>
                <w:szCs w:val="20"/>
                <w:lang w:eastAsia="es-MX"/>
              </w:rPr>
              <w:t>Incluye   la   mayoría   de</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los   elementos   que</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deben ser comparados.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Las características son</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suficientes para r</w:t>
            </w:r>
            <w:r>
              <w:rPr>
                <w:rFonts w:ascii="Arial" w:eastAsia="Times New Roman" w:hAnsi="Arial" w:cs="Arial"/>
                <w:sz w:val="20"/>
                <w:szCs w:val="20"/>
                <w:lang w:eastAsia="es-MX"/>
              </w:rPr>
              <w:t>e</w:t>
            </w:r>
            <w:r w:rsidRPr="00D54D6A">
              <w:rPr>
                <w:rFonts w:ascii="Arial" w:eastAsia="Times New Roman" w:hAnsi="Arial" w:cs="Arial"/>
                <w:sz w:val="20"/>
                <w:szCs w:val="20"/>
                <w:lang w:eastAsia="es-MX"/>
              </w:rPr>
              <w:t>alizar</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una</w:t>
            </w:r>
          </w:p>
          <w:p w14:paraId="098F3F0C" w14:textId="77777777" w:rsidR="00ED0106" w:rsidRPr="00D54D6A" w:rsidRDefault="00ED0106" w:rsidP="006C11CB">
            <w:pPr>
              <w:shd w:val="clear" w:color="auto" w:fill="FFFFFF"/>
              <w:jc w:val="both"/>
              <w:rPr>
                <w:rFonts w:ascii="Arial" w:eastAsia="Times New Roman" w:hAnsi="Arial" w:cs="Arial"/>
                <w:sz w:val="20"/>
                <w:szCs w:val="20"/>
                <w:lang w:eastAsia="es-MX"/>
              </w:rPr>
            </w:pPr>
            <w:r w:rsidRPr="00D54D6A">
              <w:rPr>
                <w:rFonts w:ascii="Arial" w:eastAsia="Times New Roman" w:hAnsi="Arial" w:cs="Arial"/>
                <w:sz w:val="20"/>
                <w:szCs w:val="20"/>
                <w:lang w:eastAsia="es-MX"/>
              </w:rPr>
              <w:t>Buena</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comparación.</w:t>
            </w:r>
          </w:p>
          <w:p w14:paraId="5772733E" w14:textId="77777777" w:rsidR="00ED0106" w:rsidRPr="00D54D6A" w:rsidRDefault="00ED0106" w:rsidP="006C11CB">
            <w:pPr>
              <w:jc w:val="both"/>
              <w:rPr>
                <w:sz w:val="20"/>
                <w:szCs w:val="20"/>
              </w:rPr>
            </w:pPr>
          </w:p>
        </w:tc>
        <w:tc>
          <w:tcPr>
            <w:tcW w:w="1061" w:type="pct"/>
          </w:tcPr>
          <w:p w14:paraId="5CBC0117" w14:textId="77777777" w:rsidR="00ED0106" w:rsidRPr="00D54D6A" w:rsidRDefault="00ED0106" w:rsidP="006C11CB">
            <w:pPr>
              <w:shd w:val="clear" w:color="auto" w:fill="FFFFFF"/>
              <w:jc w:val="both"/>
              <w:rPr>
                <w:rFonts w:ascii="Arial" w:eastAsia="Times New Roman" w:hAnsi="Arial" w:cs="Arial"/>
                <w:sz w:val="20"/>
                <w:szCs w:val="20"/>
                <w:lang w:eastAsia="es-MX"/>
              </w:rPr>
            </w:pPr>
            <w:r w:rsidRPr="00D54D6A">
              <w:rPr>
                <w:rFonts w:ascii="Arial" w:eastAsia="Times New Roman" w:hAnsi="Arial" w:cs="Arial"/>
                <w:sz w:val="20"/>
                <w:szCs w:val="20"/>
                <w:lang w:eastAsia="es-MX"/>
              </w:rPr>
              <w:t>Faltan       algunos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elementos   esenciales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para   la   comparación.</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Sin   embargo, las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características     son</w:t>
            </w:r>
          </w:p>
          <w:p w14:paraId="3382BAF4" w14:textId="77777777" w:rsidR="00ED0106" w:rsidRPr="00D54D6A" w:rsidRDefault="00ED0106" w:rsidP="006C11CB">
            <w:pPr>
              <w:shd w:val="clear" w:color="auto" w:fill="FFFFFF"/>
              <w:jc w:val="both"/>
              <w:rPr>
                <w:rFonts w:ascii="Arial" w:eastAsia="Times New Roman" w:hAnsi="Arial" w:cs="Arial"/>
                <w:sz w:val="20"/>
                <w:szCs w:val="20"/>
                <w:lang w:eastAsia="es-MX"/>
              </w:rPr>
            </w:pPr>
            <w:r w:rsidRPr="00D54D6A">
              <w:rPr>
                <w:rFonts w:ascii="Arial" w:eastAsia="Times New Roman" w:hAnsi="Arial" w:cs="Arial"/>
                <w:sz w:val="20"/>
                <w:szCs w:val="20"/>
                <w:lang w:eastAsia="es-MX"/>
              </w:rPr>
              <w:t>Mínimas</w:t>
            </w:r>
            <w:r>
              <w:rPr>
                <w:rFonts w:ascii="Arial" w:eastAsia="Times New Roman" w:hAnsi="Arial" w:cs="Arial"/>
                <w:sz w:val="20"/>
                <w:szCs w:val="20"/>
                <w:lang w:eastAsia="es-MX"/>
              </w:rPr>
              <w:t>.</w:t>
            </w:r>
          </w:p>
          <w:p w14:paraId="394AF630" w14:textId="77777777" w:rsidR="00ED0106" w:rsidRPr="00D54D6A" w:rsidRDefault="00ED0106" w:rsidP="006C11CB">
            <w:pPr>
              <w:jc w:val="both"/>
              <w:rPr>
                <w:sz w:val="20"/>
                <w:szCs w:val="20"/>
              </w:rPr>
            </w:pPr>
          </w:p>
        </w:tc>
        <w:tc>
          <w:tcPr>
            <w:tcW w:w="959" w:type="pct"/>
          </w:tcPr>
          <w:p w14:paraId="0BD35739" w14:textId="77777777" w:rsidR="00ED0106" w:rsidRPr="00D54D6A" w:rsidRDefault="00ED0106" w:rsidP="006C11CB">
            <w:pPr>
              <w:shd w:val="clear" w:color="auto" w:fill="FFFFFF"/>
              <w:jc w:val="both"/>
              <w:rPr>
                <w:rFonts w:ascii="Arial" w:eastAsia="Times New Roman" w:hAnsi="Arial" w:cs="Arial"/>
                <w:sz w:val="20"/>
                <w:szCs w:val="20"/>
                <w:lang w:eastAsia="es-MX"/>
              </w:rPr>
            </w:pPr>
            <w:r w:rsidRPr="00D54D6A">
              <w:rPr>
                <w:rFonts w:ascii="Arial" w:eastAsia="Times New Roman" w:hAnsi="Arial" w:cs="Arial"/>
                <w:sz w:val="20"/>
                <w:szCs w:val="20"/>
                <w:lang w:eastAsia="es-MX"/>
              </w:rPr>
              <w:t>No   enuncia   los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 xml:space="preserve">elementos   </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 xml:space="preserve">   las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características</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a</w:t>
            </w:r>
            <w:r>
              <w:rPr>
                <w:rFonts w:ascii="Arial" w:eastAsia="Times New Roman" w:hAnsi="Arial" w:cs="Arial"/>
                <w:sz w:val="20"/>
                <w:szCs w:val="20"/>
                <w:lang w:eastAsia="es-MX"/>
              </w:rPr>
              <w:t xml:space="preserve"> </w:t>
            </w:r>
            <w:r w:rsidRPr="00D54D6A">
              <w:rPr>
                <w:rFonts w:ascii="Arial" w:eastAsia="Times New Roman" w:hAnsi="Arial" w:cs="Arial"/>
                <w:sz w:val="20"/>
                <w:szCs w:val="20"/>
                <w:lang w:eastAsia="es-MX"/>
              </w:rPr>
              <w:t>comparar</w:t>
            </w:r>
            <w:r>
              <w:rPr>
                <w:rFonts w:ascii="Arial" w:eastAsia="Times New Roman" w:hAnsi="Arial" w:cs="Arial"/>
                <w:sz w:val="20"/>
                <w:szCs w:val="20"/>
                <w:lang w:eastAsia="es-MX"/>
              </w:rPr>
              <w:t>.</w:t>
            </w:r>
          </w:p>
          <w:p w14:paraId="45C5D9A2" w14:textId="77777777" w:rsidR="00ED0106" w:rsidRPr="00D54D6A" w:rsidRDefault="00ED0106" w:rsidP="006C11CB">
            <w:pPr>
              <w:jc w:val="both"/>
              <w:rPr>
                <w:sz w:val="20"/>
                <w:szCs w:val="20"/>
              </w:rPr>
            </w:pPr>
          </w:p>
        </w:tc>
      </w:tr>
      <w:tr w:rsidR="00ED0106" w:rsidRPr="00D54D6A" w14:paraId="033C7429" w14:textId="77777777" w:rsidTr="006C11CB">
        <w:trPr>
          <w:jc w:val="center"/>
        </w:trPr>
        <w:tc>
          <w:tcPr>
            <w:tcW w:w="907" w:type="pct"/>
          </w:tcPr>
          <w:p w14:paraId="3A3B411F" w14:textId="77777777" w:rsidR="00ED0106" w:rsidRDefault="00ED0106" w:rsidP="006C11CB">
            <w:pPr>
              <w:jc w:val="both"/>
              <w:rPr>
                <w:sz w:val="20"/>
                <w:szCs w:val="20"/>
              </w:rPr>
            </w:pPr>
            <w:r>
              <w:rPr>
                <w:sz w:val="20"/>
                <w:szCs w:val="20"/>
              </w:rPr>
              <w:t>Ortografía, gramática y presentación</w:t>
            </w:r>
          </w:p>
          <w:p w14:paraId="0E3E12BD" w14:textId="77777777" w:rsidR="00ED0106" w:rsidRPr="00D54D6A" w:rsidRDefault="00ED0106" w:rsidP="006C11CB">
            <w:pPr>
              <w:jc w:val="both"/>
              <w:rPr>
                <w:sz w:val="20"/>
                <w:szCs w:val="20"/>
              </w:rPr>
            </w:pPr>
          </w:p>
        </w:tc>
        <w:tc>
          <w:tcPr>
            <w:tcW w:w="1061" w:type="pct"/>
          </w:tcPr>
          <w:p w14:paraId="7E619348" w14:textId="77777777" w:rsidR="00ED0106" w:rsidRPr="00D54D6A" w:rsidRDefault="00ED0106" w:rsidP="006C11CB">
            <w:pPr>
              <w:jc w:val="both"/>
              <w:rPr>
                <w:sz w:val="20"/>
                <w:szCs w:val="20"/>
              </w:rPr>
            </w:pPr>
            <w:r>
              <w:rPr>
                <w:sz w:val="20"/>
                <w:szCs w:val="20"/>
              </w:rPr>
              <w:t>Sin errores ortográficos o gramaticales.</w:t>
            </w:r>
          </w:p>
        </w:tc>
        <w:tc>
          <w:tcPr>
            <w:tcW w:w="1012" w:type="pct"/>
          </w:tcPr>
          <w:p w14:paraId="005C1AF6" w14:textId="77777777" w:rsidR="00ED0106" w:rsidRPr="00D54D6A" w:rsidRDefault="00ED0106" w:rsidP="006C11CB">
            <w:pPr>
              <w:jc w:val="both"/>
              <w:rPr>
                <w:sz w:val="20"/>
                <w:szCs w:val="20"/>
              </w:rPr>
            </w:pPr>
            <w:r>
              <w:rPr>
                <w:sz w:val="20"/>
                <w:szCs w:val="20"/>
              </w:rPr>
              <w:t>Existen errores ortográficos y gramaticales mínimos (menos de 3).</w:t>
            </w:r>
          </w:p>
        </w:tc>
        <w:tc>
          <w:tcPr>
            <w:tcW w:w="1061" w:type="pct"/>
          </w:tcPr>
          <w:p w14:paraId="6882EEC3" w14:textId="77777777" w:rsidR="00ED0106" w:rsidRPr="00D54D6A" w:rsidRDefault="00ED0106" w:rsidP="006C11CB">
            <w:pPr>
              <w:jc w:val="both"/>
              <w:rPr>
                <w:sz w:val="20"/>
                <w:szCs w:val="20"/>
              </w:rPr>
            </w:pPr>
            <w:r>
              <w:rPr>
                <w:sz w:val="20"/>
                <w:szCs w:val="20"/>
              </w:rPr>
              <w:t>Varios errores ortográficos y gramaticales (más de 3 pero menos de 5).</w:t>
            </w:r>
          </w:p>
        </w:tc>
        <w:tc>
          <w:tcPr>
            <w:tcW w:w="959" w:type="pct"/>
          </w:tcPr>
          <w:p w14:paraId="020E8CCE" w14:textId="77777777" w:rsidR="00ED0106" w:rsidRPr="00D54D6A" w:rsidRDefault="00ED0106" w:rsidP="006C11CB">
            <w:pPr>
              <w:jc w:val="both"/>
              <w:rPr>
                <w:sz w:val="20"/>
                <w:szCs w:val="20"/>
              </w:rPr>
            </w:pPr>
            <w:r>
              <w:rPr>
                <w:sz w:val="20"/>
                <w:szCs w:val="20"/>
              </w:rPr>
              <w:t>Errores ortográficos y gramaticales múltiples (más de 5).</w:t>
            </w:r>
          </w:p>
        </w:tc>
      </w:tr>
      <w:tr w:rsidR="00ED0106" w:rsidRPr="00D54D6A" w14:paraId="1E5DADC8" w14:textId="77777777" w:rsidTr="006C11CB">
        <w:trPr>
          <w:jc w:val="center"/>
        </w:trPr>
        <w:tc>
          <w:tcPr>
            <w:tcW w:w="907" w:type="pct"/>
          </w:tcPr>
          <w:p w14:paraId="4140FAA6" w14:textId="77777777" w:rsidR="00ED0106" w:rsidRDefault="00ED0106" w:rsidP="006C11CB">
            <w:pPr>
              <w:jc w:val="both"/>
              <w:rPr>
                <w:sz w:val="20"/>
                <w:szCs w:val="20"/>
              </w:rPr>
            </w:pPr>
            <w:r>
              <w:rPr>
                <w:sz w:val="20"/>
                <w:szCs w:val="20"/>
              </w:rPr>
              <w:t>Referencias Bibliográficas</w:t>
            </w:r>
          </w:p>
        </w:tc>
        <w:tc>
          <w:tcPr>
            <w:tcW w:w="1061" w:type="pct"/>
          </w:tcPr>
          <w:p w14:paraId="74DC9427" w14:textId="77777777" w:rsidR="00ED0106" w:rsidRDefault="00ED0106" w:rsidP="006C11CB">
            <w:pPr>
              <w:jc w:val="both"/>
              <w:rPr>
                <w:sz w:val="20"/>
                <w:szCs w:val="20"/>
              </w:rPr>
            </w:pPr>
            <w:r>
              <w:rPr>
                <w:sz w:val="20"/>
                <w:szCs w:val="20"/>
              </w:rPr>
              <w:t>Escribe correctamente al menos 3 referencias bibliográficas de acuerdo con la norma Apa7</w:t>
            </w:r>
          </w:p>
        </w:tc>
        <w:tc>
          <w:tcPr>
            <w:tcW w:w="1012" w:type="pct"/>
          </w:tcPr>
          <w:p w14:paraId="4D2C9D45" w14:textId="77777777" w:rsidR="00ED0106" w:rsidRDefault="00ED0106" w:rsidP="006C11CB">
            <w:pPr>
              <w:jc w:val="both"/>
              <w:rPr>
                <w:sz w:val="20"/>
                <w:szCs w:val="20"/>
              </w:rPr>
            </w:pPr>
            <w:r>
              <w:rPr>
                <w:sz w:val="20"/>
                <w:szCs w:val="20"/>
              </w:rPr>
              <w:t>Escribe correctamente 2 referencias bibliográficas de acuerdo con la norma Apa7</w:t>
            </w:r>
          </w:p>
        </w:tc>
        <w:tc>
          <w:tcPr>
            <w:tcW w:w="1061" w:type="pct"/>
          </w:tcPr>
          <w:p w14:paraId="439A38B5" w14:textId="77777777" w:rsidR="00ED0106" w:rsidRDefault="00ED0106" w:rsidP="006C11CB">
            <w:pPr>
              <w:jc w:val="both"/>
              <w:rPr>
                <w:sz w:val="20"/>
                <w:szCs w:val="20"/>
              </w:rPr>
            </w:pPr>
            <w:r>
              <w:rPr>
                <w:sz w:val="20"/>
                <w:szCs w:val="20"/>
              </w:rPr>
              <w:t>Escribe correctamente 1 referencias bibliográficas de acuerdo con la norma Apa7</w:t>
            </w:r>
          </w:p>
        </w:tc>
        <w:tc>
          <w:tcPr>
            <w:tcW w:w="959" w:type="pct"/>
          </w:tcPr>
          <w:p w14:paraId="0E7E4D07" w14:textId="77777777" w:rsidR="00ED0106" w:rsidRDefault="00ED0106" w:rsidP="006C11CB">
            <w:pPr>
              <w:jc w:val="both"/>
              <w:rPr>
                <w:sz w:val="20"/>
                <w:szCs w:val="20"/>
              </w:rPr>
            </w:pPr>
            <w:r>
              <w:rPr>
                <w:sz w:val="20"/>
                <w:szCs w:val="20"/>
              </w:rPr>
              <w:t xml:space="preserve">No incluye las referencias bibliográficas </w:t>
            </w:r>
          </w:p>
        </w:tc>
      </w:tr>
    </w:tbl>
    <w:p w14:paraId="4D935F84" w14:textId="77777777" w:rsidR="00E84BFF" w:rsidRPr="00FB6D1C" w:rsidRDefault="00E84BFF" w:rsidP="00FB6D1C">
      <w:pPr>
        <w:jc w:val="center"/>
        <w:rPr>
          <w:rFonts w:ascii="Times New Roman" w:hAnsi="Times New Roman" w:cs="Times New Roman"/>
          <w:b/>
          <w:bCs/>
          <w:sz w:val="28"/>
          <w:szCs w:val="28"/>
        </w:rPr>
      </w:pPr>
    </w:p>
    <w:sectPr w:rsidR="00E84BFF" w:rsidRPr="00FB6D1C" w:rsidSect="00FB6D1C">
      <w:pgSz w:w="15840" w:h="12240" w:orient="landscape"/>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48E1" w14:textId="77777777" w:rsidR="00163F11" w:rsidRDefault="00163F11" w:rsidP="006A56C8">
      <w:pPr>
        <w:spacing w:after="0" w:line="240" w:lineRule="auto"/>
      </w:pPr>
      <w:r>
        <w:separator/>
      </w:r>
    </w:p>
  </w:endnote>
  <w:endnote w:type="continuationSeparator" w:id="0">
    <w:p w14:paraId="5EC67292" w14:textId="77777777" w:rsidR="00163F11" w:rsidRDefault="00163F11" w:rsidP="006A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7004F" w14:textId="77777777" w:rsidR="00163F11" w:rsidRDefault="00163F11" w:rsidP="006A56C8">
      <w:pPr>
        <w:spacing w:after="0" w:line="240" w:lineRule="auto"/>
      </w:pPr>
      <w:r>
        <w:separator/>
      </w:r>
    </w:p>
  </w:footnote>
  <w:footnote w:type="continuationSeparator" w:id="0">
    <w:p w14:paraId="7207BD83" w14:textId="77777777" w:rsidR="00163F11" w:rsidRDefault="00163F11" w:rsidP="006A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38C8"/>
    <w:multiLevelType w:val="hybridMultilevel"/>
    <w:tmpl w:val="465CC818"/>
    <w:lvl w:ilvl="0" w:tplc="1D5841F8">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A65345"/>
    <w:multiLevelType w:val="hybridMultilevel"/>
    <w:tmpl w:val="84B451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6772AE"/>
    <w:multiLevelType w:val="hybridMultilevel"/>
    <w:tmpl w:val="7ECCF4EA"/>
    <w:lvl w:ilvl="0" w:tplc="4F469A52">
      <w:start w:val="1"/>
      <w:numFmt w:val="decimal"/>
      <w:lvlText w:val="%1."/>
      <w:lvlJc w:val="left"/>
      <w:pPr>
        <w:tabs>
          <w:tab w:val="num" w:pos="720"/>
        </w:tabs>
        <w:ind w:left="720" w:hanging="360"/>
      </w:pPr>
    </w:lvl>
    <w:lvl w:ilvl="1" w:tplc="D870F7E4" w:tentative="1">
      <w:start w:val="1"/>
      <w:numFmt w:val="decimal"/>
      <w:lvlText w:val="%2."/>
      <w:lvlJc w:val="left"/>
      <w:pPr>
        <w:tabs>
          <w:tab w:val="num" w:pos="1440"/>
        </w:tabs>
        <w:ind w:left="1440" w:hanging="360"/>
      </w:pPr>
    </w:lvl>
    <w:lvl w:ilvl="2" w:tplc="AF26C5FC" w:tentative="1">
      <w:start w:val="1"/>
      <w:numFmt w:val="decimal"/>
      <w:lvlText w:val="%3."/>
      <w:lvlJc w:val="left"/>
      <w:pPr>
        <w:tabs>
          <w:tab w:val="num" w:pos="2160"/>
        </w:tabs>
        <w:ind w:left="2160" w:hanging="360"/>
      </w:pPr>
    </w:lvl>
    <w:lvl w:ilvl="3" w:tplc="FF20389A" w:tentative="1">
      <w:start w:val="1"/>
      <w:numFmt w:val="decimal"/>
      <w:lvlText w:val="%4."/>
      <w:lvlJc w:val="left"/>
      <w:pPr>
        <w:tabs>
          <w:tab w:val="num" w:pos="2880"/>
        </w:tabs>
        <w:ind w:left="2880" w:hanging="360"/>
      </w:pPr>
    </w:lvl>
    <w:lvl w:ilvl="4" w:tplc="DF320B84" w:tentative="1">
      <w:start w:val="1"/>
      <w:numFmt w:val="decimal"/>
      <w:lvlText w:val="%5."/>
      <w:lvlJc w:val="left"/>
      <w:pPr>
        <w:tabs>
          <w:tab w:val="num" w:pos="3600"/>
        </w:tabs>
        <w:ind w:left="3600" w:hanging="360"/>
      </w:pPr>
    </w:lvl>
    <w:lvl w:ilvl="5" w:tplc="1814137E" w:tentative="1">
      <w:start w:val="1"/>
      <w:numFmt w:val="decimal"/>
      <w:lvlText w:val="%6."/>
      <w:lvlJc w:val="left"/>
      <w:pPr>
        <w:tabs>
          <w:tab w:val="num" w:pos="4320"/>
        </w:tabs>
        <w:ind w:left="4320" w:hanging="360"/>
      </w:pPr>
    </w:lvl>
    <w:lvl w:ilvl="6" w:tplc="4E7441E6" w:tentative="1">
      <w:start w:val="1"/>
      <w:numFmt w:val="decimal"/>
      <w:lvlText w:val="%7."/>
      <w:lvlJc w:val="left"/>
      <w:pPr>
        <w:tabs>
          <w:tab w:val="num" w:pos="5040"/>
        </w:tabs>
        <w:ind w:left="5040" w:hanging="360"/>
      </w:pPr>
    </w:lvl>
    <w:lvl w:ilvl="7" w:tplc="96CED19C" w:tentative="1">
      <w:start w:val="1"/>
      <w:numFmt w:val="decimal"/>
      <w:lvlText w:val="%8."/>
      <w:lvlJc w:val="left"/>
      <w:pPr>
        <w:tabs>
          <w:tab w:val="num" w:pos="5760"/>
        </w:tabs>
        <w:ind w:left="5760" w:hanging="360"/>
      </w:pPr>
    </w:lvl>
    <w:lvl w:ilvl="8" w:tplc="CADAC60C" w:tentative="1">
      <w:start w:val="1"/>
      <w:numFmt w:val="decimal"/>
      <w:lvlText w:val="%9."/>
      <w:lvlJc w:val="left"/>
      <w:pPr>
        <w:tabs>
          <w:tab w:val="num" w:pos="6480"/>
        </w:tabs>
        <w:ind w:left="6480" w:hanging="360"/>
      </w:pPr>
    </w:lvl>
  </w:abstractNum>
  <w:abstractNum w:abstractNumId="3" w15:restartNumberingAfterBreak="0">
    <w:nsid w:val="50772B36"/>
    <w:multiLevelType w:val="hybridMultilevel"/>
    <w:tmpl w:val="B17EB3B6"/>
    <w:lvl w:ilvl="0" w:tplc="B25A9BA0">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5811426">
    <w:abstractNumId w:val="0"/>
  </w:num>
  <w:num w:numId="2" w16cid:durableId="315845066">
    <w:abstractNumId w:val="3"/>
  </w:num>
  <w:num w:numId="3" w16cid:durableId="1397628095">
    <w:abstractNumId w:val="2"/>
  </w:num>
  <w:num w:numId="4" w16cid:durableId="2017724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1C"/>
    <w:rsid w:val="00163F11"/>
    <w:rsid w:val="00290ADD"/>
    <w:rsid w:val="006A56C8"/>
    <w:rsid w:val="008C093B"/>
    <w:rsid w:val="00990CAA"/>
    <w:rsid w:val="00AB0679"/>
    <w:rsid w:val="00C01116"/>
    <w:rsid w:val="00CA4569"/>
    <w:rsid w:val="00E84BFF"/>
    <w:rsid w:val="00ED0106"/>
    <w:rsid w:val="00FB341B"/>
    <w:rsid w:val="00FB6D1C"/>
    <w:rsid w:val="00FE6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A7E7"/>
  <w15:chartTrackingRefBased/>
  <w15:docId w15:val="{A15E7F9B-7EC7-45D4-AFCE-CC525664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6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B341B"/>
    <w:pPr>
      <w:ind w:left="720"/>
      <w:contextualSpacing/>
    </w:pPr>
  </w:style>
  <w:style w:type="character" w:styleId="Hipervnculo">
    <w:name w:val="Hyperlink"/>
    <w:basedOn w:val="Fuentedeprrafopredeter"/>
    <w:uiPriority w:val="99"/>
    <w:unhideWhenUsed/>
    <w:rsid w:val="00E84BFF"/>
    <w:rPr>
      <w:color w:val="0563C1" w:themeColor="hyperlink"/>
      <w:u w:val="single"/>
    </w:rPr>
  </w:style>
  <w:style w:type="character" w:styleId="Mencinsinresolver">
    <w:name w:val="Unresolved Mention"/>
    <w:basedOn w:val="Fuentedeprrafopredeter"/>
    <w:uiPriority w:val="99"/>
    <w:semiHidden/>
    <w:unhideWhenUsed/>
    <w:rsid w:val="00E84BFF"/>
    <w:rPr>
      <w:color w:val="605E5C"/>
      <w:shd w:val="clear" w:color="auto" w:fill="E1DFDD"/>
    </w:rPr>
  </w:style>
  <w:style w:type="character" w:styleId="Textoennegrita">
    <w:name w:val="Strong"/>
    <w:basedOn w:val="Fuentedeprrafopredeter"/>
    <w:uiPriority w:val="22"/>
    <w:qFormat/>
    <w:rsid w:val="00E84BFF"/>
    <w:rPr>
      <w:b/>
      <w:bCs/>
    </w:rPr>
  </w:style>
  <w:style w:type="paragraph" w:styleId="Encabezado">
    <w:name w:val="header"/>
    <w:basedOn w:val="Normal"/>
    <w:link w:val="EncabezadoCar"/>
    <w:uiPriority w:val="99"/>
    <w:unhideWhenUsed/>
    <w:rsid w:val="006A5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56C8"/>
  </w:style>
  <w:style w:type="paragraph" w:styleId="Piedepgina">
    <w:name w:val="footer"/>
    <w:basedOn w:val="Normal"/>
    <w:link w:val="PiedepginaCar"/>
    <w:uiPriority w:val="99"/>
    <w:unhideWhenUsed/>
    <w:rsid w:val="006A5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56C8"/>
  </w:style>
  <w:style w:type="paragraph" w:styleId="Sinespaciado">
    <w:name w:val="No Spacing"/>
    <w:uiPriority w:val="1"/>
    <w:qFormat/>
    <w:rsid w:val="00CA4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17509">
      <w:bodyDiv w:val="1"/>
      <w:marLeft w:val="0"/>
      <w:marRight w:val="0"/>
      <w:marTop w:val="0"/>
      <w:marBottom w:val="0"/>
      <w:divBdr>
        <w:top w:val="none" w:sz="0" w:space="0" w:color="auto"/>
        <w:left w:val="none" w:sz="0" w:space="0" w:color="auto"/>
        <w:bottom w:val="none" w:sz="0" w:space="0" w:color="auto"/>
        <w:right w:val="none" w:sz="0" w:space="0" w:color="auto"/>
      </w:divBdr>
    </w:div>
    <w:div w:id="321664162">
      <w:bodyDiv w:val="1"/>
      <w:marLeft w:val="0"/>
      <w:marRight w:val="0"/>
      <w:marTop w:val="0"/>
      <w:marBottom w:val="0"/>
      <w:divBdr>
        <w:top w:val="none" w:sz="0" w:space="0" w:color="auto"/>
        <w:left w:val="none" w:sz="0" w:space="0" w:color="auto"/>
        <w:bottom w:val="none" w:sz="0" w:space="0" w:color="auto"/>
        <w:right w:val="none" w:sz="0" w:space="0" w:color="auto"/>
      </w:divBdr>
    </w:div>
    <w:div w:id="355156601">
      <w:bodyDiv w:val="1"/>
      <w:marLeft w:val="0"/>
      <w:marRight w:val="0"/>
      <w:marTop w:val="0"/>
      <w:marBottom w:val="0"/>
      <w:divBdr>
        <w:top w:val="none" w:sz="0" w:space="0" w:color="auto"/>
        <w:left w:val="none" w:sz="0" w:space="0" w:color="auto"/>
        <w:bottom w:val="none" w:sz="0" w:space="0" w:color="auto"/>
        <w:right w:val="none" w:sz="0" w:space="0" w:color="auto"/>
      </w:divBdr>
    </w:div>
    <w:div w:id="607734285">
      <w:bodyDiv w:val="1"/>
      <w:marLeft w:val="0"/>
      <w:marRight w:val="0"/>
      <w:marTop w:val="0"/>
      <w:marBottom w:val="0"/>
      <w:divBdr>
        <w:top w:val="none" w:sz="0" w:space="0" w:color="auto"/>
        <w:left w:val="none" w:sz="0" w:space="0" w:color="auto"/>
        <w:bottom w:val="none" w:sz="0" w:space="0" w:color="auto"/>
        <w:right w:val="none" w:sz="0" w:space="0" w:color="auto"/>
      </w:divBdr>
    </w:div>
    <w:div w:id="1365523883">
      <w:bodyDiv w:val="1"/>
      <w:marLeft w:val="0"/>
      <w:marRight w:val="0"/>
      <w:marTop w:val="0"/>
      <w:marBottom w:val="0"/>
      <w:divBdr>
        <w:top w:val="none" w:sz="0" w:space="0" w:color="auto"/>
        <w:left w:val="none" w:sz="0" w:space="0" w:color="auto"/>
        <w:bottom w:val="none" w:sz="0" w:space="0" w:color="auto"/>
        <w:right w:val="none" w:sz="0" w:space="0" w:color="auto"/>
      </w:divBdr>
    </w:div>
    <w:div w:id="1784498104">
      <w:bodyDiv w:val="1"/>
      <w:marLeft w:val="0"/>
      <w:marRight w:val="0"/>
      <w:marTop w:val="0"/>
      <w:marBottom w:val="0"/>
      <w:divBdr>
        <w:top w:val="none" w:sz="0" w:space="0" w:color="auto"/>
        <w:left w:val="none" w:sz="0" w:space="0" w:color="auto"/>
        <w:bottom w:val="none" w:sz="0" w:space="0" w:color="auto"/>
        <w:right w:val="none" w:sz="0" w:space="0" w:color="auto"/>
      </w:divBdr>
      <w:divsChild>
        <w:div w:id="928663056">
          <w:marLeft w:val="547"/>
          <w:marRight w:val="0"/>
          <w:marTop w:val="0"/>
          <w:marBottom w:val="0"/>
          <w:divBdr>
            <w:top w:val="none" w:sz="0" w:space="0" w:color="auto"/>
            <w:left w:val="none" w:sz="0" w:space="0" w:color="auto"/>
            <w:bottom w:val="none" w:sz="0" w:space="0" w:color="auto"/>
            <w:right w:val="none" w:sz="0" w:space="0" w:color="auto"/>
          </w:divBdr>
        </w:div>
        <w:div w:id="67502159">
          <w:marLeft w:val="547"/>
          <w:marRight w:val="0"/>
          <w:marTop w:val="0"/>
          <w:marBottom w:val="0"/>
          <w:divBdr>
            <w:top w:val="none" w:sz="0" w:space="0" w:color="auto"/>
            <w:left w:val="none" w:sz="0" w:space="0" w:color="auto"/>
            <w:bottom w:val="none" w:sz="0" w:space="0" w:color="auto"/>
            <w:right w:val="none" w:sz="0" w:space="0" w:color="auto"/>
          </w:divBdr>
        </w:div>
        <w:div w:id="172452922">
          <w:marLeft w:val="547"/>
          <w:marRight w:val="0"/>
          <w:marTop w:val="0"/>
          <w:marBottom w:val="0"/>
          <w:divBdr>
            <w:top w:val="none" w:sz="0" w:space="0" w:color="auto"/>
            <w:left w:val="none" w:sz="0" w:space="0" w:color="auto"/>
            <w:bottom w:val="none" w:sz="0" w:space="0" w:color="auto"/>
            <w:right w:val="none" w:sz="0" w:space="0" w:color="auto"/>
          </w:divBdr>
        </w:div>
        <w:div w:id="1146556912">
          <w:marLeft w:val="547"/>
          <w:marRight w:val="0"/>
          <w:marTop w:val="0"/>
          <w:marBottom w:val="0"/>
          <w:divBdr>
            <w:top w:val="none" w:sz="0" w:space="0" w:color="auto"/>
            <w:left w:val="none" w:sz="0" w:space="0" w:color="auto"/>
            <w:bottom w:val="none" w:sz="0" w:space="0" w:color="auto"/>
            <w:right w:val="none" w:sz="0" w:space="0" w:color="auto"/>
          </w:divBdr>
        </w:div>
        <w:div w:id="3849859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41.233.82/sistema/ActividadSalon/Cartera.asp?e=enep-00046&amp;c=1674507163&amp;p=4054019B24M1M17B532210A05M&amp;idMateria=709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87.141.233.82/sistema/Data/tareas/enep-00046/_Actividad/25682/2644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87.141.233.82/sistema/Data/tareas/enep-00046/_Actividad/25681/26442.pdf" TargetMode="Externa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1888</Words>
  <Characters>10386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LIZBETH ANGUIANO CALDERON</dc:creator>
  <cp:keywords/>
  <dc:description/>
  <cp:lastModifiedBy>Titulacion Tere C</cp:lastModifiedBy>
  <cp:revision>2</cp:revision>
  <dcterms:created xsi:type="dcterms:W3CDTF">2023-06-28T19:40:00Z</dcterms:created>
  <dcterms:modified xsi:type="dcterms:W3CDTF">2023-06-28T19:40:00Z</dcterms:modified>
</cp:coreProperties>
</file>