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ESCUELA NORMAL DE EDUCACIÓN PREESCOLAR</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Licenciatura en educación preescolar</w:t>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rtl w:val="0"/>
        </w:rPr>
      </w:r>
    </w:p>
    <w:p w:rsidR="00000000" w:rsidDel="00000000" w:rsidP="00000000" w:rsidRDefault="00000000" w:rsidRPr="00000000" w14:paraId="00000006">
      <w:pPr>
        <w:jc w:val="center"/>
        <w:rPr>
          <w:b w:val="1"/>
          <w:sz w:val="36"/>
          <w:szCs w:val="36"/>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sz w:val="32"/>
          <w:szCs w:val="32"/>
        </w:rPr>
        <w:drawing>
          <wp:inline distB="114300" distT="114300" distL="114300" distR="114300">
            <wp:extent cx="2528172" cy="187992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8172" cy="187992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b w:val="1"/>
          <w:sz w:val="36"/>
          <w:szCs w:val="36"/>
        </w:rPr>
      </w:pPr>
      <w:r w:rsidDel="00000000" w:rsidR="00000000" w:rsidRPr="00000000">
        <w:rPr>
          <w:b w:val="1"/>
          <w:sz w:val="36"/>
          <w:szCs w:val="36"/>
          <w:rtl w:val="0"/>
        </w:rPr>
        <w:t xml:space="preserve">Presentación de casos de violencia intrafamiliar</w:t>
      </w:r>
    </w:p>
    <w:p w:rsidR="00000000" w:rsidDel="00000000" w:rsidP="00000000" w:rsidRDefault="00000000" w:rsidRPr="00000000" w14:paraId="0000000C">
      <w:pPr>
        <w:jc w:val="center"/>
        <w:rPr>
          <w:sz w:val="32"/>
          <w:szCs w:val="32"/>
        </w:rPr>
      </w:pPr>
      <w:r w:rsidDel="00000000" w:rsidR="00000000" w:rsidRPr="00000000">
        <w:rPr>
          <w:rtl w:val="0"/>
        </w:rPr>
      </w:r>
    </w:p>
    <w:p w:rsidR="00000000" w:rsidDel="00000000" w:rsidP="00000000" w:rsidRDefault="00000000" w:rsidRPr="00000000" w14:paraId="0000000D">
      <w:pPr>
        <w:jc w:val="center"/>
        <w:rPr>
          <w:sz w:val="32"/>
          <w:szCs w:val="32"/>
        </w:rPr>
      </w:pPr>
      <w:r w:rsidDel="00000000" w:rsidR="00000000" w:rsidRPr="00000000">
        <w:rPr>
          <w:rtl w:val="0"/>
        </w:rPr>
      </w:r>
    </w:p>
    <w:p w:rsidR="00000000" w:rsidDel="00000000" w:rsidP="00000000" w:rsidRDefault="00000000" w:rsidRPr="00000000" w14:paraId="0000000E">
      <w:pPr>
        <w:jc w:val="center"/>
        <w:rPr>
          <w:sz w:val="34"/>
          <w:szCs w:val="34"/>
        </w:rPr>
      </w:pPr>
      <w:r w:rsidDel="00000000" w:rsidR="00000000" w:rsidRPr="00000000">
        <w:rPr>
          <w:sz w:val="34"/>
          <w:szCs w:val="34"/>
          <w:rtl w:val="0"/>
        </w:rPr>
        <w:t xml:space="preserve"> Curso: Optativa prevención de la violencia</w:t>
      </w:r>
    </w:p>
    <w:p w:rsidR="00000000" w:rsidDel="00000000" w:rsidP="00000000" w:rsidRDefault="00000000" w:rsidRPr="00000000" w14:paraId="0000000F">
      <w:pPr>
        <w:jc w:val="center"/>
        <w:rPr>
          <w:sz w:val="34"/>
          <w:szCs w:val="34"/>
        </w:rPr>
      </w:pPr>
      <w:r w:rsidDel="00000000" w:rsidR="00000000" w:rsidRPr="00000000">
        <w:rPr>
          <w:sz w:val="34"/>
          <w:szCs w:val="34"/>
          <w:rtl w:val="0"/>
        </w:rPr>
        <w:t xml:space="preserve">Docente: Carlos Armando Balderas Valdés</w:t>
      </w:r>
    </w:p>
    <w:p w:rsidR="00000000" w:rsidDel="00000000" w:rsidP="00000000" w:rsidRDefault="00000000" w:rsidRPr="00000000" w14:paraId="00000010">
      <w:pPr>
        <w:jc w:val="center"/>
        <w:rPr>
          <w:sz w:val="34"/>
          <w:szCs w:val="34"/>
        </w:rPr>
      </w:pPr>
      <w:r w:rsidDel="00000000" w:rsidR="00000000" w:rsidRPr="00000000">
        <w:rPr>
          <w:rtl w:val="0"/>
        </w:rPr>
      </w:r>
    </w:p>
    <w:p w:rsidR="00000000" w:rsidDel="00000000" w:rsidP="00000000" w:rsidRDefault="00000000" w:rsidRPr="00000000" w14:paraId="00000011">
      <w:pPr>
        <w:jc w:val="center"/>
        <w:rPr>
          <w:sz w:val="34"/>
          <w:szCs w:val="34"/>
        </w:rPr>
      </w:pPr>
      <w:r w:rsidDel="00000000" w:rsidR="00000000" w:rsidRPr="00000000">
        <w:rPr>
          <w:sz w:val="34"/>
          <w:szCs w:val="34"/>
          <w:rtl w:val="0"/>
        </w:rPr>
        <w:t xml:space="preserve">Alumna: Jimena Sarahi Gaytan Espinoza</w:t>
      </w:r>
    </w:p>
    <w:p w:rsidR="00000000" w:rsidDel="00000000" w:rsidP="00000000" w:rsidRDefault="00000000" w:rsidRPr="00000000" w14:paraId="00000012">
      <w:pPr>
        <w:jc w:val="center"/>
        <w:rPr>
          <w:sz w:val="34"/>
          <w:szCs w:val="34"/>
        </w:rPr>
      </w:pPr>
      <w:r w:rsidDel="00000000" w:rsidR="00000000" w:rsidRPr="00000000">
        <w:rPr>
          <w:rtl w:val="0"/>
        </w:rPr>
      </w:r>
    </w:p>
    <w:p w:rsidR="00000000" w:rsidDel="00000000" w:rsidP="00000000" w:rsidRDefault="00000000" w:rsidRPr="00000000" w14:paraId="00000013">
      <w:pPr>
        <w:jc w:val="center"/>
        <w:rPr>
          <w:sz w:val="34"/>
          <w:szCs w:val="34"/>
        </w:rPr>
      </w:pPr>
      <w:r w:rsidDel="00000000" w:rsidR="00000000" w:rsidRPr="00000000">
        <w:rPr>
          <w:rtl w:val="0"/>
        </w:rPr>
      </w:r>
    </w:p>
    <w:p w:rsidR="00000000" w:rsidDel="00000000" w:rsidP="00000000" w:rsidRDefault="00000000" w:rsidRPr="00000000" w14:paraId="00000014">
      <w:pPr>
        <w:jc w:val="center"/>
        <w:rPr>
          <w:sz w:val="34"/>
          <w:szCs w:val="34"/>
        </w:rPr>
      </w:pPr>
      <w:r w:rsidDel="00000000" w:rsidR="00000000" w:rsidRPr="00000000">
        <w:rPr>
          <w:rtl w:val="0"/>
        </w:rPr>
      </w:r>
    </w:p>
    <w:p w:rsidR="00000000" w:rsidDel="00000000" w:rsidP="00000000" w:rsidRDefault="00000000" w:rsidRPr="00000000" w14:paraId="00000015">
      <w:pPr>
        <w:jc w:val="center"/>
        <w:rPr>
          <w:sz w:val="34"/>
          <w:szCs w:val="34"/>
        </w:rPr>
      </w:pPr>
      <w:r w:rsidDel="00000000" w:rsidR="00000000" w:rsidRPr="00000000">
        <w:rPr>
          <w:rtl w:val="0"/>
        </w:rPr>
      </w:r>
    </w:p>
    <w:p w:rsidR="00000000" w:rsidDel="00000000" w:rsidP="00000000" w:rsidRDefault="00000000" w:rsidRPr="00000000" w14:paraId="00000016">
      <w:pPr>
        <w:jc w:val="center"/>
        <w:rPr>
          <w:sz w:val="34"/>
          <w:szCs w:val="34"/>
        </w:rPr>
      </w:pPr>
      <w:r w:rsidDel="00000000" w:rsidR="00000000" w:rsidRPr="00000000">
        <w:rPr>
          <w:rtl w:val="0"/>
        </w:rPr>
      </w:r>
    </w:p>
    <w:p w:rsidR="00000000" w:rsidDel="00000000" w:rsidP="00000000" w:rsidRDefault="00000000" w:rsidRPr="00000000" w14:paraId="00000017">
      <w:pPr>
        <w:jc w:val="center"/>
        <w:rPr>
          <w:sz w:val="34"/>
          <w:szCs w:val="34"/>
        </w:rPr>
      </w:pPr>
      <w:r w:rsidDel="00000000" w:rsidR="00000000" w:rsidRPr="00000000">
        <w:rPr>
          <w:rtl w:val="0"/>
        </w:rPr>
      </w:r>
    </w:p>
    <w:p w:rsidR="00000000" w:rsidDel="00000000" w:rsidP="00000000" w:rsidRDefault="00000000" w:rsidRPr="00000000" w14:paraId="00000018">
      <w:pPr>
        <w:jc w:val="center"/>
        <w:rPr>
          <w:sz w:val="34"/>
          <w:szCs w:val="34"/>
        </w:rPr>
      </w:pPr>
      <w:r w:rsidDel="00000000" w:rsidR="00000000" w:rsidRPr="00000000">
        <w:rPr>
          <w:rtl w:val="0"/>
        </w:rPr>
      </w:r>
    </w:p>
    <w:p w:rsidR="00000000" w:rsidDel="00000000" w:rsidP="00000000" w:rsidRDefault="00000000" w:rsidRPr="00000000" w14:paraId="00000019">
      <w:pPr>
        <w:jc w:val="right"/>
        <w:rPr>
          <w:sz w:val="34"/>
          <w:szCs w:val="34"/>
        </w:rPr>
      </w:pPr>
      <w:r w:rsidDel="00000000" w:rsidR="00000000" w:rsidRPr="00000000">
        <w:rPr>
          <w:sz w:val="34"/>
          <w:szCs w:val="34"/>
          <w:rtl w:val="0"/>
        </w:rPr>
        <w:t xml:space="preserve">Saltillo, Coahuila; a 18 de octubre del 2023.</w:t>
      </w:r>
    </w:p>
    <w:p w:rsidR="00000000" w:rsidDel="00000000" w:rsidP="00000000" w:rsidRDefault="00000000" w:rsidRPr="00000000" w14:paraId="0000001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Concepto: Violencia Intrafamiliar </w:t>
      </w:r>
    </w:p>
    <w:p w:rsidR="00000000" w:rsidDel="00000000" w:rsidP="00000000" w:rsidRDefault="00000000" w:rsidRPr="00000000" w14:paraId="0000001B">
      <w:pPr>
        <w:rPr>
          <w:sz w:val="34"/>
          <w:szCs w:val="34"/>
        </w:rPr>
      </w:pPr>
      <w:r w:rsidDel="00000000" w:rsidR="00000000" w:rsidRPr="00000000">
        <w:rPr>
          <w:rtl w:val="0"/>
        </w:rPr>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violencia intrafamiliar también es conocida como violencia doméstica, y es la que se da entre los miembros de una misma familia.</w:t>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través de la violencia intrafamiliar se pone en riesgo a los individuos en tres niveles: físico, emocional y psíquico.</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 más lamentable es que este tipo de violencia muchas veces es callada por vergüenza o temor. (Terapify)</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hd w:fill="ffffff" w:val="clear"/>
        <w:spacing w:after="360"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violencia intrafamiliar es entendida como toda acción u omisión cometida por algún miembro de la familia en relación de poder, sin importar el espacio físico donde ocurra, que perjudique el bienestar, la integridad física, psicológica o la libertad y el derecho al pleno desarrollo de otro miembro de la familia.</w:t>
        <w:br w:type="textWrapping"/>
        <w:t xml:space="preserve">Quedan comprendidas dentro de ella las violencias física, sexual, psicológica y económica, sea que se presenten de manera conjunta o no. La violencia económica incluye también la negación a cubrir necesidades alimentarias para los hijos o gastos básicos para la supervivencia del núcleo familiar conviviente, así como el control de gastos o ingresos. (Argentina.gob.ar)</w:t>
      </w:r>
    </w:p>
    <w:p w:rsidR="00000000" w:rsidDel="00000000" w:rsidP="00000000" w:rsidRDefault="00000000" w:rsidRPr="00000000" w14:paraId="00000021">
      <w:pPr>
        <w:shd w:fill="ffffff" w:val="clear"/>
        <w:spacing w:after="360"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Todos los seres humanos vivimos situaciones conflictivas y muchas veces cometemos actos violentos. También, somos agredidos muchas más veces de las que podemos recordar. No sólo hemos participado en un intercambio de violencia con desconocidos, también lo hemos hecho con compañeros y compañeras de trabajo, y con miembros de nuestra propia familia.</w:t>
      </w:r>
    </w:p>
    <w:p w:rsidR="00000000" w:rsidDel="00000000" w:rsidP="00000000" w:rsidRDefault="00000000" w:rsidRPr="00000000" w14:paraId="00000022">
      <w:pPr>
        <w:shd w:fill="ffffff" w:val="clear"/>
        <w:spacing w:after="360"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Tendemos a repetir en nuestra vida adulta los patrones aprendidos durante la niñez. Investigaciones acerca de las percepciones de las prestadoras y los prestadores de servicios en centros de salud e instancias de justicia, muestran que gran parte de ellos tiende a considerar "natural" la violencia que sufren las mujeres al minimizar o prestar escasa atención a los hechos violentos que ellas padecen. (Secretaría de salud)</w:t>
      </w:r>
    </w:p>
    <w:p w:rsidR="00000000" w:rsidDel="00000000" w:rsidP="00000000" w:rsidRDefault="00000000" w:rsidRPr="00000000" w14:paraId="00000023">
      <w:pPr>
        <w:rPr>
          <w:rFonts w:ascii="Times New Roman" w:cs="Times New Roman" w:eastAsia="Times New Roman" w:hAnsi="Times New Roman"/>
          <w:b w:val="1"/>
          <w:color w:val="1e2128"/>
          <w:sz w:val="32"/>
          <w:szCs w:val="32"/>
          <w:highlight w:val="white"/>
        </w:rPr>
      </w:pPr>
      <w:r w:rsidDel="00000000" w:rsidR="00000000" w:rsidRPr="00000000">
        <w:rPr>
          <w:rFonts w:ascii="Times New Roman" w:cs="Times New Roman" w:eastAsia="Times New Roman" w:hAnsi="Times New Roman"/>
          <w:b w:val="1"/>
          <w:color w:val="1e2128"/>
          <w:sz w:val="32"/>
          <w:szCs w:val="32"/>
          <w:highlight w:val="white"/>
          <w:rtl w:val="0"/>
        </w:rPr>
        <w:t xml:space="preserve">Posibles causas</w:t>
      </w:r>
    </w:p>
    <w:p w:rsidR="00000000" w:rsidDel="00000000" w:rsidP="00000000" w:rsidRDefault="00000000" w:rsidRPr="00000000" w14:paraId="00000024">
      <w:pPr>
        <w:rPr>
          <w:rFonts w:ascii="Times New Roman" w:cs="Times New Roman" w:eastAsia="Times New Roman" w:hAnsi="Times New Roman"/>
          <w:b w:val="1"/>
          <w:color w:val="1e2128"/>
          <w:sz w:val="32"/>
          <w:szCs w:val="32"/>
          <w:highlight w:val="white"/>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Intolerancia al comportamiento de los demás</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Falta de control de los impulsos propios</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si no se tiene un buen desarrollo de vínculos afectivos</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incapacidad de resolver problemas</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Abuso del alcohol y drogas</w:t>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Costumbre o cultura de maltrato</w:t>
      </w:r>
    </w:p>
    <w:p w:rsidR="00000000" w:rsidDel="00000000" w:rsidP="00000000" w:rsidRDefault="00000000" w:rsidRPr="00000000" w14:paraId="0000002B">
      <w:pPr>
        <w:ind w:left="0" w:firstLine="0"/>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b w:val="1"/>
          <w:color w:val="1e2128"/>
          <w:sz w:val="32"/>
          <w:szCs w:val="32"/>
          <w:highlight w:val="white"/>
        </w:rPr>
      </w:pPr>
      <w:r w:rsidDel="00000000" w:rsidR="00000000" w:rsidRPr="00000000">
        <w:rPr>
          <w:rFonts w:ascii="Times New Roman" w:cs="Times New Roman" w:eastAsia="Times New Roman" w:hAnsi="Times New Roman"/>
          <w:b w:val="1"/>
          <w:color w:val="1e2128"/>
          <w:sz w:val="32"/>
          <w:szCs w:val="32"/>
          <w:highlight w:val="white"/>
          <w:rtl w:val="0"/>
        </w:rPr>
        <w:t xml:space="preserve">Consecuencias</w:t>
      </w:r>
    </w:p>
    <w:p w:rsidR="00000000" w:rsidDel="00000000" w:rsidP="00000000" w:rsidRDefault="00000000" w:rsidRPr="00000000" w14:paraId="0000002D">
      <w:pPr>
        <w:ind w:left="0" w:firstLine="0"/>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Enfermedades autoinmunes</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Depresión</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Ansiedad</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Daños físicos, emocionales y psicológicos</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Incapacidad de mantener relaciones afectivas </w:t>
      </w:r>
    </w:p>
    <w:p w:rsidR="00000000" w:rsidDel="00000000" w:rsidP="00000000" w:rsidRDefault="00000000" w:rsidRPr="00000000" w14:paraId="00000033">
      <w:pPr>
        <w:ind w:left="0" w:firstLine="0"/>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b w:val="1"/>
          <w:color w:val="1e2128"/>
          <w:sz w:val="32"/>
          <w:szCs w:val="32"/>
          <w:highlight w:val="white"/>
        </w:rPr>
      </w:pPr>
      <w:r w:rsidDel="00000000" w:rsidR="00000000" w:rsidRPr="00000000">
        <w:rPr>
          <w:rFonts w:ascii="Times New Roman" w:cs="Times New Roman" w:eastAsia="Times New Roman" w:hAnsi="Times New Roman"/>
          <w:b w:val="1"/>
          <w:color w:val="1e2128"/>
          <w:sz w:val="32"/>
          <w:szCs w:val="32"/>
          <w:highlight w:val="white"/>
          <w:rtl w:val="0"/>
        </w:rPr>
        <w:t xml:space="preserve">Indicadores de violencia intrafamiliar</w:t>
      </w:r>
    </w:p>
    <w:p w:rsidR="00000000" w:rsidDel="00000000" w:rsidP="00000000" w:rsidRDefault="00000000" w:rsidRPr="00000000" w14:paraId="00000035">
      <w:pPr>
        <w:ind w:left="0" w:firstLine="0"/>
        <w:rPr>
          <w:b w:val="1"/>
          <w:color w:val="1e2128"/>
          <w:sz w:val="26"/>
          <w:szCs w:val="26"/>
          <w:highlight w:val="white"/>
        </w:rPr>
      </w:pPr>
      <w:r w:rsidDel="00000000" w:rsidR="00000000" w:rsidRPr="00000000">
        <w:rPr>
          <w:rtl w:val="0"/>
        </w:rPr>
      </w:r>
    </w:p>
    <w:p w:rsidR="00000000" w:rsidDel="00000000" w:rsidP="00000000" w:rsidRDefault="00000000" w:rsidRPr="00000000" w14:paraId="00000036">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Durante el presente año, a nivel nacional, la tasa de violencia familiar alcanzó 547 casos por cada 100,000 habitantes en 2020, mucho mayor a la tasa de 334 casos en 2015. De forma parecida, entre 2015 y 2020, asaltos sexuales crecieron de 111 casos por cada 100,000 habitantes a 177.</w:t>
      </w:r>
    </w:p>
    <w:p w:rsidR="00000000" w:rsidDel="00000000" w:rsidP="00000000" w:rsidRDefault="00000000" w:rsidRPr="00000000" w14:paraId="00000037">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Coahuila es la tercera entidad a nivel nacional con la tasa más alta por cada 100 mil habitantes en denuncias por violencia familiar, según datos del Secretariado Ejecutivo del Sistema Nacional de Seguridad Pública.</w:t>
      </w:r>
    </w:p>
    <w:p w:rsidR="00000000" w:rsidDel="00000000" w:rsidP="00000000" w:rsidRDefault="00000000" w:rsidRPr="00000000" w14:paraId="00000039">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3A">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El informe de enero a octubre actualizado ayer detalla que en todo el país hay 214 mil 277 denuncias por delitos de violencia familiar, de los cuales Coahuila tiene 10 mil 244. Esto equivale a que tenga una tasa de 313 por cada 100 mil habitantes, cuando la nacional es de 166.1.</w:t>
      </w:r>
    </w:p>
    <w:p w:rsidR="00000000" w:rsidDel="00000000" w:rsidP="00000000" w:rsidRDefault="00000000" w:rsidRPr="00000000" w14:paraId="0000003B">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left="0" w:firstLine="0"/>
        <w:jc w:val="both"/>
        <w:rPr>
          <w:rFonts w:ascii="Times New Roman" w:cs="Times New Roman" w:eastAsia="Times New Roman" w:hAnsi="Times New Roman"/>
          <w:b w:val="1"/>
          <w:color w:val="1e2128"/>
          <w:sz w:val="32"/>
          <w:szCs w:val="32"/>
          <w:highlight w:val="white"/>
        </w:rPr>
      </w:pPr>
      <w:r w:rsidDel="00000000" w:rsidR="00000000" w:rsidRPr="00000000">
        <w:rPr>
          <w:rFonts w:ascii="Times New Roman" w:cs="Times New Roman" w:eastAsia="Times New Roman" w:hAnsi="Times New Roman"/>
          <w:b w:val="1"/>
          <w:color w:val="1e2128"/>
          <w:sz w:val="32"/>
          <w:szCs w:val="32"/>
          <w:highlight w:val="white"/>
          <w:rtl w:val="0"/>
        </w:rPr>
        <w:t xml:space="preserve">Caso de violencia intrafamiliar en mi jardín.</w:t>
      </w:r>
    </w:p>
    <w:p w:rsidR="00000000" w:rsidDel="00000000" w:rsidP="00000000" w:rsidRDefault="00000000" w:rsidRPr="00000000" w14:paraId="0000003D">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Se detectó el caso de una alumna cuyo papá abusó de ella.</w:t>
      </w:r>
    </w:p>
    <w:p w:rsidR="00000000" w:rsidDel="00000000" w:rsidP="00000000" w:rsidRDefault="00000000" w:rsidRPr="00000000" w14:paraId="0000003E">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Durante el proceso de diagnóstico se nos informó a la docente titular y a mi, que el padre se encontraba en juicio y no tenia permiso de ver a la niña, ya que se contaba con una orden de alejamiento durante el tiempo que duraba el juicio.</w:t>
      </w:r>
    </w:p>
    <w:p w:rsidR="00000000" w:rsidDel="00000000" w:rsidP="00000000" w:rsidRDefault="00000000" w:rsidRPr="00000000" w14:paraId="0000003F">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Según testimonios de la madre, el abuso se llevó a cabo en casa del padre, pues se encuentran separados desde hace ya varios años, y fue en uno de los fines de semana que la niña estuvo con él, cuanto éste, bajo los efectos del alcohol, se dedicó a realizar tocamientos indebidos a la niña.</w:t>
      </w:r>
    </w:p>
    <w:p w:rsidR="00000000" w:rsidDel="00000000" w:rsidP="00000000" w:rsidRDefault="00000000" w:rsidRPr="00000000" w14:paraId="00000041">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Fue días después cuando la niña le comentó a su madre lo que su papá le hizo, diciendo que tenía miedo, pues él le había dicho que si decía algo, “el diablo” se la iba a llevar.</w:t>
      </w:r>
    </w:p>
    <w:p w:rsidR="00000000" w:rsidDel="00000000" w:rsidP="00000000" w:rsidRDefault="00000000" w:rsidRPr="00000000" w14:paraId="00000042">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Fonts w:ascii="Times New Roman" w:cs="Times New Roman" w:eastAsia="Times New Roman" w:hAnsi="Times New Roman"/>
          <w:color w:val="1e2128"/>
          <w:sz w:val="24"/>
          <w:szCs w:val="24"/>
          <w:highlight w:val="white"/>
          <w:rtl w:val="0"/>
        </w:rPr>
        <w:t xml:space="preserve">Lo último que supe fue que el padre quedó en libertad y con permiso de ver a la niña, puesto que “no hubo una violación.”</w:t>
      </w:r>
    </w:p>
    <w:p w:rsidR="00000000" w:rsidDel="00000000" w:rsidP="00000000" w:rsidRDefault="00000000" w:rsidRPr="00000000" w14:paraId="00000043">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b w:val="1"/>
          <w:color w:val="1e2128"/>
          <w:sz w:val="32"/>
          <w:szCs w:val="32"/>
          <w:highlight w:val="white"/>
        </w:rPr>
      </w:pPr>
      <w:r w:rsidDel="00000000" w:rsidR="00000000" w:rsidRPr="00000000">
        <w:rPr>
          <w:rFonts w:ascii="Times New Roman" w:cs="Times New Roman" w:eastAsia="Times New Roman" w:hAnsi="Times New Roman"/>
          <w:b w:val="1"/>
          <w:color w:val="1e2128"/>
          <w:sz w:val="32"/>
          <w:szCs w:val="32"/>
          <w:highlight w:val="white"/>
          <w:rtl w:val="0"/>
        </w:rPr>
        <w:t xml:space="preserve">Referencias</w:t>
      </w:r>
    </w:p>
    <w:p w:rsidR="00000000" w:rsidDel="00000000" w:rsidP="00000000" w:rsidRDefault="00000000" w:rsidRPr="00000000" w14:paraId="00000046">
      <w:pPr>
        <w:spacing w:line="480" w:lineRule="auto"/>
        <w:jc w:val="center"/>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47">
      <w:pPr>
        <w:spacing w:line="480" w:lineRule="auto"/>
        <w:jc w:val="center"/>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48">
      <w:pPr>
        <w:numPr>
          <w:ilvl w:val="0"/>
          <w:numId w:val="3"/>
        </w:numPr>
        <w:spacing w:line="480" w:lineRule="auto"/>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Argentina.gob.ar. “Violencia Intrafamiliar.” </w:t>
      </w:r>
      <w:r w:rsidDel="00000000" w:rsidR="00000000" w:rsidRPr="00000000">
        <w:rPr>
          <w:rFonts w:ascii="Times New Roman" w:cs="Times New Roman" w:eastAsia="Times New Roman" w:hAnsi="Times New Roman"/>
          <w:i w:val="1"/>
          <w:color w:val="1e2128"/>
          <w:sz w:val="24"/>
          <w:szCs w:val="24"/>
          <w:highlight w:val="white"/>
          <w:rtl w:val="0"/>
        </w:rPr>
        <w:t xml:space="preserve">Argentina.gob.ar</w:t>
      </w:r>
      <w:r w:rsidDel="00000000" w:rsidR="00000000" w:rsidRPr="00000000">
        <w:rPr>
          <w:rFonts w:ascii="Times New Roman" w:cs="Times New Roman" w:eastAsia="Times New Roman" w:hAnsi="Times New Roman"/>
          <w:color w:val="1e2128"/>
          <w:sz w:val="24"/>
          <w:szCs w:val="24"/>
          <w:highlight w:val="white"/>
          <w:rtl w:val="0"/>
        </w:rPr>
        <w:t xml:space="preserve">, https://www.argentina.gob.ar/armada/oficinas-de-genero-y-familia/violencia-familiar. Accessed 18 October 2023.</w:t>
      </w:r>
    </w:p>
    <w:p w:rsidR="00000000" w:rsidDel="00000000" w:rsidP="00000000" w:rsidRDefault="00000000" w:rsidRPr="00000000" w14:paraId="00000049">
      <w:pPr>
        <w:numPr>
          <w:ilvl w:val="0"/>
          <w:numId w:val="3"/>
        </w:numPr>
        <w:spacing w:line="480" w:lineRule="auto"/>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Secretaría de salud. “Violencia Intrafamiliar | Secretaría de Salud.” </w:t>
      </w:r>
      <w:r w:rsidDel="00000000" w:rsidR="00000000" w:rsidRPr="00000000">
        <w:rPr>
          <w:rFonts w:ascii="Times New Roman" w:cs="Times New Roman" w:eastAsia="Times New Roman" w:hAnsi="Times New Roman"/>
          <w:i w:val="1"/>
          <w:color w:val="1e2128"/>
          <w:sz w:val="24"/>
          <w:szCs w:val="24"/>
          <w:highlight w:val="white"/>
          <w:rtl w:val="0"/>
        </w:rPr>
        <w:t xml:space="preserve">Salud EDOMEX</w:t>
      </w:r>
      <w:r w:rsidDel="00000000" w:rsidR="00000000" w:rsidRPr="00000000">
        <w:rPr>
          <w:rFonts w:ascii="Times New Roman" w:cs="Times New Roman" w:eastAsia="Times New Roman" w:hAnsi="Times New Roman"/>
          <w:color w:val="1e2128"/>
          <w:sz w:val="24"/>
          <w:szCs w:val="24"/>
          <w:highlight w:val="white"/>
          <w:rtl w:val="0"/>
        </w:rPr>
        <w:t xml:space="preserve">, https://salud.edomex.gob.mx/salud/violencia_intrafamiliar. Accessed 18 October 2023.</w:t>
      </w:r>
    </w:p>
    <w:p w:rsidR="00000000" w:rsidDel="00000000" w:rsidP="00000000" w:rsidRDefault="00000000" w:rsidRPr="00000000" w14:paraId="0000004A">
      <w:pPr>
        <w:numPr>
          <w:ilvl w:val="0"/>
          <w:numId w:val="3"/>
        </w:numPr>
        <w:spacing w:line="480" w:lineRule="auto"/>
        <w:ind w:left="720" w:hanging="360"/>
        <w:rPr>
          <w:rFonts w:ascii="Times New Roman" w:cs="Times New Roman" w:eastAsia="Times New Roman" w:hAnsi="Times New Roman"/>
          <w:color w:val="1e2128"/>
          <w:sz w:val="24"/>
          <w:szCs w:val="24"/>
          <w:highlight w:val="white"/>
          <w:u w:val="none"/>
        </w:rPr>
      </w:pPr>
      <w:r w:rsidDel="00000000" w:rsidR="00000000" w:rsidRPr="00000000">
        <w:rPr>
          <w:rFonts w:ascii="Times New Roman" w:cs="Times New Roman" w:eastAsia="Times New Roman" w:hAnsi="Times New Roman"/>
          <w:color w:val="1e2128"/>
          <w:sz w:val="24"/>
          <w:szCs w:val="24"/>
          <w:highlight w:val="white"/>
          <w:rtl w:val="0"/>
        </w:rPr>
        <w:t xml:space="preserve">Terapify. “Violencia intrafamiliar: tipos, causas y consecuencias.” </w:t>
      </w:r>
      <w:r w:rsidDel="00000000" w:rsidR="00000000" w:rsidRPr="00000000">
        <w:rPr>
          <w:rFonts w:ascii="Times New Roman" w:cs="Times New Roman" w:eastAsia="Times New Roman" w:hAnsi="Times New Roman"/>
          <w:i w:val="1"/>
          <w:color w:val="1e2128"/>
          <w:sz w:val="24"/>
          <w:szCs w:val="24"/>
          <w:highlight w:val="white"/>
          <w:rtl w:val="0"/>
        </w:rPr>
        <w:t xml:space="preserve">Terapify</w:t>
      </w:r>
      <w:r w:rsidDel="00000000" w:rsidR="00000000" w:rsidRPr="00000000">
        <w:rPr>
          <w:rFonts w:ascii="Times New Roman" w:cs="Times New Roman" w:eastAsia="Times New Roman" w:hAnsi="Times New Roman"/>
          <w:color w:val="1e2128"/>
          <w:sz w:val="24"/>
          <w:szCs w:val="24"/>
          <w:highlight w:val="white"/>
          <w:rtl w:val="0"/>
        </w:rPr>
        <w:t xml:space="preserve">, psicólogos en línea, 13 November 2018, https://www.terapify.com/blog/violencia-intrafamiliar-tipos-causas-y-consecuencias/. Accessed 18 October 2023.</w:t>
      </w:r>
    </w:p>
    <w:p w:rsidR="00000000" w:rsidDel="00000000" w:rsidP="00000000" w:rsidRDefault="00000000" w:rsidRPr="00000000" w14:paraId="0000004B">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p w:rsidR="00000000" w:rsidDel="00000000" w:rsidP="00000000" w:rsidRDefault="00000000" w:rsidRPr="00000000" w14:paraId="0000004C">
      <w:pPr>
        <w:spacing w:line="480" w:lineRule="auto"/>
        <w:ind w:left="0" w:firstLine="0"/>
        <w:jc w:val="both"/>
        <w:rPr>
          <w:rFonts w:ascii="Times New Roman" w:cs="Times New Roman" w:eastAsia="Times New Roman" w:hAnsi="Times New Roman"/>
          <w:color w:val="1e2128"/>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Month>November</b:Month>
    <b:DayAccessed>18</b:DayAccessed>
    <b:Day>13</b:Day>
    <b:Year>2018</b:Year>
    <b:SourceType>DocumentFromInternetSite</b:SourceType>
    <b:URL>https://www.terapify.com/blog/violencia-intrafamiliar-tipos-causas-y-consecuencias/</b:URL>
    <b:Title>Violencia intrafamiliar: tipos, causas y consecuencias</b:Title>
    <b:InternetSiteTitle>Terapify</b:InternetSiteTitle>
    <b:MonthAccessed>October</b:MonthAccessed>
    <b:YearAccessed>2023</b:YearAccessed>
    <b:Publisher>psicólogos en línea</b:Publisher>
    <b:Gdcea>{"AccessedType":"Website"}</b:Gdcea>
    <b:Author>
      <b:Author>
        <b:NameList>
          <b:Person>
            <b:First>Terapify</b:First>
          </b:Person>
        </b:NameList>
      </b:Author>
    </b:Author>
  </b:Source>
  <b:Source>
    <b:Tag>source2</b:Tag>
    <b:DayAccessed>18</b:DayAccessed>
    <b:SourceType>DocumentFromInternetSite</b:SourceType>
    <b:URL>https://www.argentina.gob.ar/armada/oficinas-de-genero-y-familia/violencia-familiar</b:URL>
    <b:Title>Violencia Intrafamiliar</b:Title>
    <b:InternetSiteTitle>Argentina.gob.ar</b:InternetSiteTitle>
    <b:MonthAccessed>October</b:MonthAccessed>
    <b:YearAccessed>2023</b:YearAccessed>
    <b:Gdcea>{"AccessedType":"Website"}</b:Gdcea>
    <b:Author>
      <b:Author>
        <b:NameList>
          <b:Person>
            <b:First>Argentina.gob.ar</b:First>
          </b:Person>
        </b:NameList>
      </b:Author>
    </b:Author>
  </b:Source>
  <b:Source>
    <b:Tag>source3</b:Tag>
    <b:DayAccessed>18</b:DayAccessed>
    <b:SourceType>DocumentFromInternetSite</b:SourceType>
    <b:URL>https://salud.edomex.gob.mx/salud/violencia_intrafamiliar</b:URL>
    <b:Title>Violencia Intrafamiliar | Secretaría de Salud</b:Title>
    <b:InternetSiteTitle>Salud EDOMEX</b:InternetSiteTitle>
    <b:MonthAccessed>October</b:MonthAccessed>
    <b:YearAccessed>2023</b:YearAccessed>
    <b:Gdcea>{"AccessedType":"Website"}</b:Gdcea>
    <b:Author>
      <b:Author>
        <b:NameList>
          <b:Person>
            <b:First>Secretaría de salud</b:Fir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