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DAF97" w14:textId="7DEC5DF5" w:rsidR="00773570" w:rsidRPr="00773570" w:rsidRDefault="00773570" w:rsidP="00773570">
      <w:pPr>
        <w:jc w:val="center"/>
        <w:rPr>
          <w:rFonts w:ascii="Times New Roman" w:hAnsi="Times New Roman" w:cs="Times New Roman"/>
          <w:b/>
          <w:sz w:val="52"/>
          <w:szCs w:val="52"/>
        </w:rPr>
      </w:pPr>
      <w:r w:rsidRPr="00773570">
        <w:rPr>
          <w:rFonts w:ascii="Times New Roman" w:hAnsi="Times New Roman" w:cs="Times New Roman"/>
          <w:b/>
          <w:sz w:val="52"/>
          <w:szCs w:val="52"/>
        </w:rPr>
        <w:t>ESCUELA NORMAL DE EDUCACIÓN PREESCOLAR</w:t>
      </w:r>
    </w:p>
    <w:p w14:paraId="5BA6041B" w14:textId="453A006C" w:rsidR="00773570" w:rsidRPr="00773570" w:rsidRDefault="00773570" w:rsidP="00773570">
      <w:pPr>
        <w:jc w:val="center"/>
        <w:rPr>
          <w:rFonts w:ascii="Times New Roman" w:hAnsi="Times New Roman" w:cs="Times New Roman"/>
          <w:b/>
          <w:sz w:val="44"/>
          <w:szCs w:val="44"/>
        </w:rPr>
      </w:pPr>
      <w:r w:rsidRPr="00773570">
        <w:rPr>
          <w:rFonts w:ascii="Times New Roman" w:hAnsi="Times New Roman" w:cs="Times New Roman"/>
          <w:b/>
          <w:sz w:val="44"/>
          <w:szCs w:val="44"/>
        </w:rPr>
        <w:t>Licenciatura en Educación preescolar</w:t>
      </w:r>
    </w:p>
    <w:p w14:paraId="0AF85EE5" w14:textId="20110876" w:rsidR="00773570" w:rsidRPr="00773570" w:rsidRDefault="00773570" w:rsidP="00773570">
      <w:pPr>
        <w:jc w:val="center"/>
        <w:rPr>
          <w:rFonts w:ascii="Times New Roman" w:hAnsi="Times New Roman" w:cs="Times New Roman"/>
          <w:b/>
          <w:sz w:val="44"/>
          <w:szCs w:val="44"/>
        </w:rPr>
      </w:pPr>
      <w:r w:rsidRPr="00773570">
        <w:rPr>
          <w:rFonts w:ascii="Times New Roman" w:hAnsi="Times New Roman" w:cs="Times New Roman"/>
          <w:b/>
          <w:sz w:val="44"/>
          <w:szCs w:val="44"/>
        </w:rPr>
        <w:t>Ciclo escolar 2022 – 2023</w:t>
      </w:r>
    </w:p>
    <w:p w14:paraId="755D3DEC" w14:textId="3E945F3B" w:rsidR="00773570" w:rsidRPr="00773570" w:rsidRDefault="00773570" w:rsidP="00773570">
      <w:pPr>
        <w:jc w:val="center"/>
        <w:rPr>
          <w:rFonts w:ascii="Times New Roman" w:hAnsi="Times New Roman" w:cs="Times New Roman"/>
          <w:b/>
          <w:sz w:val="44"/>
          <w:szCs w:val="44"/>
        </w:rPr>
      </w:pPr>
      <w:r w:rsidRPr="00773570">
        <w:rPr>
          <w:rFonts w:ascii="Times New Roman" w:hAnsi="Times New Roman" w:cs="Times New Roman"/>
          <w:b/>
          <w:sz w:val="44"/>
          <w:szCs w:val="44"/>
        </w:rPr>
        <w:t>Nombre de la alumna:</w:t>
      </w:r>
    </w:p>
    <w:p w14:paraId="151D728F" w14:textId="7CACE8B7" w:rsidR="00773570" w:rsidRDefault="00773570" w:rsidP="00773570">
      <w:pPr>
        <w:jc w:val="center"/>
        <w:rPr>
          <w:rFonts w:ascii="Times New Roman" w:hAnsi="Times New Roman" w:cs="Times New Roman"/>
          <w:bCs/>
          <w:sz w:val="44"/>
          <w:szCs w:val="44"/>
        </w:rPr>
      </w:pPr>
      <w:r w:rsidRPr="00773570">
        <w:rPr>
          <w:rFonts w:ascii="Times New Roman" w:hAnsi="Times New Roman" w:cs="Times New Roman"/>
          <w:bCs/>
          <w:sz w:val="44"/>
          <w:szCs w:val="44"/>
        </w:rPr>
        <w:t xml:space="preserve">Bricia Fernanda González </w:t>
      </w:r>
      <w:proofErr w:type="spellStart"/>
      <w:r w:rsidRPr="00773570">
        <w:rPr>
          <w:rFonts w:ascii="Times New Roman" w:hAnsi="Times New Roman" w:cs="Times New Roman"/>
          <w:bCs/>
          <w:sz w:val="44"/>
          <w:szCs w:val="44"/>
        </w:rPr>
        <w:t>González</w:t>
      </w:r>
      <w:proofErr w:type="spellEnd"/>
      <w:r w:rsidRPr="00773570">
        <w:rPr>
          <w:rFonts w:ascii="Times New Roman" w:hAnsi="Times New Roman" w:cs="Times New Roman"/>
          <w:bCs/>
          <w:sz w:val="44"/>
          <w:szCs w:val="44"/>
        </w:rPr>
        <w:t xml:space="preserve"> </w:t>
      </w:r>
    </w:p>
    <w:p w14:paraId="393F65FB" w14:textId="0C1E621A" w:rsidR="00773570" w:rsidRDefault="00773570" w:rsidP="00773570">
      <w:pPr>
        <w:jc w:val="center"/>
        <w:rPr>
          <w:rFonts w:ascii="Times New Roman" w:hAnsi="Times New Roman" w:cs="Times New Roman"/>
          <w:bCs/>
          <w:sz w:val="44"/>
          <w:szCs w:val="44"/>
        </w:rPr>
      </w:pPr>
      <w:r w:rsidRPr="00773570">
        <w:rPr>
          <w:rFonts w:ascii="Times New Roman" w:hAnsi="Times New Roman" w:cs="Times New Roman"/>
          <w:b/>
          <w:sz w:val="44"/>
          <w:szCs w:val="44"/>
        </w:rPr>
        <w:t>Docente:</w:t>
      </w:r>
      <w:r>
        <w:rPr>
          <w:rFonts w:ascii="Times New Roman" w:hAnsi="Times New Roman" w:cs="Times New Roman"/>
          <w:b/>
          <w:sz w:val="44"/>
          <w:szCs w:val="44"/>
        </w:rPr>
        <w:t xml:space="preserve"> </w:t>
      </w:r>
      <w:r w:rsidRPr="00773570">
        <w:rPr>
          <w:rFonts w:ascii="Times New Roman" w:hAnsi="Times New Roman" w:cs="Times New Roman"/>
          <w:bCs/>
          <w:sz w:val="44"/>
          <w:szCs w:val="44"/>
        </w:rPr>
        <w:t xml:space="preserve">Jazmín </w:t>
      </w:r>
      <w:proofErr w:type="spellStart"/>
      <w:r w:rsidRPr="00773570">
        <w:rPr>
          <w:rFonts w:ascii="Times New Roman" w:hAnsi="Times New Roman" w:cs="Times New Roman"/>
          <w:bCs/>
          <w:sz w:val="44"/>
          <w:szCs w:val="44"/>
        </w:rPr>
        <w:t>Aide</w:t>
      </w:r>
      <w:proofErr w:type="spellEnd"/>
      <w:r w:rsidRPr="00773570">
        <w:rPr>
          <w:rFonts w:ascii="Times New Roman" w:hAnsi="Times New Roman" w:cs="Times New Roman"/>
          <w:bCs/>
          <w:sz w:val="44"/>
          <w:szCs w:val="44"/>
        </w:rPr>
        <w:t xml:space="preserve"> León Jamaica</w:t>
      </w:r>
    </w:p>
    <w:p w14:paraId="4FA5DA16" w14:textId="4E708097" w:rsidR="00773570" w:rsidRDefault="00773570" w:rsidP="00773570">
      <w:pPr>
        <w:jc w:val="center"/>
        <w:rPr>
          <w:rFonts w:ascii="Times New Roman" w:hAnsi="Times New Roman" w:cs="Times New Roman"/>
          <w:bCs/>
          <w:sz w:val="44"/>
          <w:szCs w:val="44"/>
        </w:rPr>
      </w:pPr>
      <w:r>
        <w:rPr>
          <w:rFonts w:ascii="Times New Roman" w:hAnsi="Times New Roman" w:cs="Times New Roman"/>
          <w:bCs/>
          <w:sz w:val="44"/>
          <w:szCs w:val="44"/>
        </w:rPr>
        <w:t>Educación Inclusiva</w:t>
      </w:r>
    </w:p>
    <w:p w14:paraId="75A648CB" w14:textId="59A5A597" w:rsidR="00773570" w:rsidRDefault="00773570" w:rsidP="00773570">
      <w:pPr>
        <w:jc w:val="center"/>
        <w:rPr>
          <w:rFonts w:ascii="Times New Roman" w:hAnsi="Times New Roman" w:cs="Times New Roman"/>
          <w:b/>
          <w:sz w:val="52"/>
          <w:szCs w:val="52"/>
        </w:rPr>
      </w:pPr>
      <w:r w:rsidRPr="00773570">
        <w:rPr>
          <w:rFonts w:ascii="Times New Roman" w:hAnsi="Times New Roman" w:cs="Times New Roman"/>
          <w:b/>
          <w:sz w:val="52"/>
          <w:szCs w:val="52"/>
        </w:rPr>
        <w:t>UNIDAD I</w:t>
      </w:r>
    </w:p>
    <w:p w14:paraId="057EEC66" w14:textId="6F42CE1A" w:rsidR="00773570" w:rsidRDefault="00773570" w:rsidP="00773570">
      <w:pPr>
        <w:jc w:val="center"/>
        <w:rPr>
          <w:rFonts w:ascii="Times New Roman" w:hAnsi="Times New Roman" w:cs="Times New Roman"/>
          <w:bCs/>
          <w:sz w:val="44"/>
          <w:szCs w:val="44"/>
        </w:rPr>
      </w:pPr>
      <w:r w:rsidRPr="00773570">
        <w:rPr>
          <w:rFonts w:ascii="Times New Roman" w:hAnsi="Times New Roman" w:cs="Times New Roman"/>
          <w:bCs/>
          <w:sz w:val="44"/>
          <w:szCs w:val="44"/>
        </w:rPr>
        <w:t>ASPECTOS GENERALES DE LA EDUCACIÓN INCLUSIVA</w:t>
      </w:r>
    </w:p>
    <w:p w14:paraId="5863D135" w14:textId="1320D251" w:rsidR="00773570" w:rsidRPr="00773570" w:rsidRDefault="00773570" w:rsidP="00773570">
      <w:pPr>
        <w:jc w:val="center"/>
        <w:rPr>
          <w:rFonts w:ascii="Times New Roman" w:hAnsi="Times New Roman" w:cs="Times New Roman"/>
          <w:bCs/>
          <w:sz w:val="44"/>
          <w:szCs w:val="44"/>
        </w:rPr>
      </w:pPr>
      <w:r>
        <w:rPr>
          <w:rFonts w:ascii="Times New Roman" w:hAnsi="Times New Roman" w:cs="Times New Roman"/>
          <w:bCs/>
          <w:sz w:val="44"/>
          <w:szCs w:val="44"/>
        </w:rPr>
        <w:t>“Análisis de Exposiciones”</w:t>
      </w:r>
    </w:p>
    <w:p w14:paraId="2564AE5C" w14:textId="4D0212F9" w:rsidR="00BB1551" w:rsidRPr="00773570" w:rsidRDefault="00773570" w:rsidP="00773570">
      <w:pPr>
        <w:jc w:val="center"/>
        <w:rPr>
          <w:rFonts w:ascii="Times New Roman" w:hAnsi="Times New Roman" w:cs="Times New Roman"/>
          <w:b/>
          <w:sz w:val="56"/>
          <w:szCs w:val="56"/>
        </w:rPr>
      </w:pPr>
      <w:r w:rsidRPr="00773570">
        <w:rPr>
          <w:rFonts w:ascii="Times New Roman" w:hAnsi="Times New Roman" w:cs="Times New Roman"/>
          <w:b/>
          <w:sz w:val="44"/>
          <w:szCs w:val="44"/>
        </w:rPr>
        <w:t xml:space="preserve">Número de lista: </w:t>
      </w:r>
      <w:r>
        <w:rPr>
          <w:rFonts w:ascii="Times New Roman" w:hAnsi="Times New Roman" w:cs="Times New Roman"/>
          <w:bCs/>
          <w:sz w:val="44"/>
          <w:szCs w:val="44"/>
        </w:rPr>
        <w:t>8</w:t>
      </w:r>
      <w:r w:rsidRPr="00773570">
        <w:rPr>
          <w:rFonts w:ascii="Times New Roman" w:hAnsi="Times New Roman" w:cs="Times New Roman"/>
          <w:b/>
          <w:sz w:val="44"/>
          <w:szCs w:val="44"/>
        </w:rPr>
        <w:t xml:space="preserve">      Grupo:   </w:t>
      </w:r>
      <w:r>
        <w:rPr>
          <w:rFonts w:ascii="Times New Roman" w:hAnsi="Times New Roman" w:cs="Times New Roman"/>
          <w:bCs/>
          <w:sz w:val="44"/>
          <w:szCs w:val="44"/>
        </w:rPr>
        <w:t>3°C</w:t>
      </w:r>
    </w:p>
    <w:p w14:paraId="69F476F5" w14:textId="65EA7415" w:rsidR="00BB1551" w:rsidRDefault="00BB1551">
      <w:pPr>
        <w:rPr>
          <w:rFonts w:ascii="Times New Roman" w:hAnsi="Times New Roman" w:cs="Times New Roman"/>
          <w:b/>
          <w:bCs/>
          <w:color w:val="1F4E79" w:themeColor="accent5" w:themeShade="80"/>
          <w:sz w:val="28"/>
          <w:szCs w:val="28"/>
        </w:rPr>
      </w:pPr>
    </w:p>
    <w:p w14:paraId="57494656" w14:textId="18F24CFD" w:rsidR="00BB1551" w:rsidRDefault="00BB1551">
      <w:pPr>
        <w:rPr>
          <w:rFonts w:ascii="Times New Roman" w:hAnsi="Times New Roman" w:cs="Times New Roman"/>
          <w:b/>
          <w:bCs/>
          <w:color w:val="1F4E79" w:themeColor="accent5" w:themeShade="80"/>
          <w:sz w:val="28"/>
          <w:szCs w:val="28"/>
        </w:rPr>
      </w:pPr>
    </w:p>
    <w:p w14:paraId="20519A71" w14:textId="228046CD" w:rsidR="00BB1551" w:rsidRDefault="00773570">
      <w:pPr>
        <w:rPr>
          <w:rFonts w:ascii="Times New Roman" w:hAnsi="Times New Roman" w:cs="Times New Roman"/>
          <w:b/>
          <w:bCs/>
          <w:color w:val="1F4E79" w:themeColor="accent5" w:themeShade="80"/>
          <w:sz w:val="28"/>
          <w:szCs w:val="28"/>
        </w:rPr>
      </w:pPr>
      <w:r w:rsidRPr="00773570">
        <w:rPr>
          <w:rFonts w:ascii="Times New Roman" w:hAnsi="Times New Roman" w:cs="Times New Roman"/>
          <w:b/>
          <w:noProof/>
          <w:sz w:val="44"/>
          <w:szCs w:val="44"/>
        </w:rPr>
        <w:drawing>
          <wp:anchor distT="0" distB="0" distL="114300" distR="114300" simplePos="0" relativeHeight="251659264" behindDoc="0" locked="0" layoutInCell="1" allowOverlap="1" wp14:anchorId="68E50CEB" wp14:editId="2E28E57D">
            <wp:simplePos x="0" y="0"/>
            <wp:positionH relativeFrom="margin">
              <wp:align>center</wp:align>
            </wp:positionH>
            <wp:positionV relativeFrom="paragraph">
              <wp:posOffset>137182</wp:posOffset>
            </wp:positionV>
            <wp:extent cx="1749972" cy="2180311"/>
            <wp:effectExtent l="0" t="0" r="0" b="0"/>
            <wp:wrapNone/>
            <wp:docPr id="6" name="2 Imagen"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 Imagen" descr="Imagen que contiene Texto&#10;&#10;Descripción generada automáticamente"/>
                    <pic:cNvPicPr>
                      <a:picLocks noChangeAspect="1"/>
                    </pic:cNvPicPr>
                  </pic:nvPicPr>
                  <pic:blipFill rotWithShape="1">
                    <a:blip r:embed="rId4" cstate="print">
                      <a:extLst>
                        <a:ext uri="{28A0092B-C50C-407E-A947-70E740481C1C}">
                          <a14:useLocalDpi xmlns:a14="http://schemas.microsoft.com/office/drawing/2010/main" val="0"/>
                        </a:ext>
                      </a:extLst>
                    </a:blip>
                    <a:srcRect r="61525" b="7"/>
                    <a:stretch/>
                  </pic:blipFill>
                  <pic:spPr>
                    <a:xfrm>
                      <a:off x="0" y="0"/>
                      <a:ext cx="1749972" cy="2180311"/>
                    </a:xfrm>
                    <a:prstGeom prst="rect">
                      <a:avLst/>
                    </a:prstGeom>
                  </pic:spPr>
                </pic:pic>
              </a:graphicData>
            </a:graphic>
            <wp14:sizeRelH relativeFrom="margin">
              <wp14:pctWidth>0</wp14:pctWidth>
            </wp14:sizeRelH>
            <wp14:sizeRelV relativeFrom="margin">
              <wp14:pctHeight>0</wp14:pctHeight>
            </wp14:sizeRelV>
          </wp:anchor>
        </w:drawing>
      </w:r>
    </w:p>
    <w:p w14:paraId="62277485" w14:textId="0B31B390" w:rsidR="00BB1551" w:rsidRDefault="00BB1551">
      <w:pPr>
        <w:rPr>
          <w:rFonts w:ascii="Times New Roman" w:hAnsi="Times New Roman" w:cs="Times New Roman"/>
          <w:b/>
          <w:bCs/>
          <w:color w:val="1F4E79" w:themeColor="accent5" w:themeShade="80"/>
          <w:sz w:val="28"/>
          <w:szCs w:val="28"/>
        </w:rPr>
      </w:pPr>
    </w:p>
    <w:p w14:paraId="1490E671" w14:textId="77777777" w:rsidR="00BB1551" w:rsidRDefault="00BB1551">
      <w:pPr>
        <w:rPr>
          <w:rFonts w:ascii="Times New Roman" w:hAnsi="Times New Roman" w:cs="Times New Roman"/>
          <w:b/>
          <w:bCs/>
          <w:color w:val="1F4E79" w:themeColor="accent5" w:themeShade="80"/>
          <w:sz w:val="28"/>
          <w:szCs w:val="28"/>
        </w:rPr>
      </w:pPr>
    </w:p>
    <w:p w14:paraId="18159398" w14:textId="77777777" w:rsidR="00BB1551" w:rsidRDefault="00BB1551">
      <w:pPr>
        <w:rPr>
          <w:rFonts w:ascii="Times New Roman" w:hAnsi="Times New Roman" w:cs="Times New Roman"/>
          <w:b/>
          <w:bCs/>
          <w:color w:val="1F4E79" w:themeColor="accent5" w:themeShade="80"/>
          <w:sz w:val="28"/>
          <w:szCs w:val="28"/>
        </w:rPr>
      </w:pPr>
    </w:p>
    <w:p w14:paraId="5BEBDB86" w14:textId="77777777" w:rsidR="00BB1551" w:rsidRDefault="00BB1551">
      <w:pPr>
        <w:rPr>
          <w:rFonts w:ascii="Times New Roman" w:hAnsi="Times New Roman" w:cs="Times New Roman"/>
          <w:b/>
          <w:bCs/>
          <w:color w:val="1F4E79" w:themeColor="accent5" w:themeShade="80"/>
          <w:sz w:val="28"/>
          <w:szCs w:val="28"/>
        </w:rPr>
      </w:pPr>
    </w:p>
    <w:p w14:paraId="270CB8FF" w14:textId="03F15238" w:rsidR="00BB1551" w:rsidRPr="00BB1551" w:rsidRDefault="00BB1551" w:rsidP="00BB1551">
      <w:pPr>
        <w:spacing w:line="360" w:lineRule="auto"/>
        <w:rPr>
          <w:rFonts w:ascii="Times New Roman" w:hAnsi="Times New Roman" w:cs="Times New Roman"/>
          <w:b/>
          <w:bCs/>
          <w:color w:val="1F4E79" w:themeColor="accent5" w:themeShade="80"/>
          <w:sz w:val="28"/>
          <w:szCs w:val="28"/>
        </w:rPr>
      </w:pPr>
      <w:r w:rsidRPr="00BB1551">
        <w:rPr>
          <w:rFonts w:ascii="Times New Roman" w:hAnsi="Times New Roman" w:cs="Times New Roman"/>
          <w:b/>
          <w:bCs/>
          <w:color w:val="1F4E79" w:themeColor="accent5" w:themeShade="80"/>
          <w:sz w:val="28"/>
          <w:szCs w:val="28"/>
        </w:rPr>
        <w:lastRenderedPageBreak/>
        <w:t xml:space="preserve">Análisis de exposiciones. </w:t>
      </w:r>
    </w:p>
    <w:p w14:paraId="2EC2F238" w14:textId="6D1DB098" w:rsidR="00CC488B" w:rsidRPr="00BB1551" w:rsidRDefault="00353789" w:rsidP="00BB1551">
      <w:pPr>
        <w:spacing w:line="360" w:lineRule="auto"/>
        <w:rPr>
          <w:rFonts w:ascii="Times New Roman" w:hAnsi="Times New Roman" w:cs="Times New Roman"/>
          <w:sz w:val="24"/>
          <w:szCs w:val="24"/>
        </w:rPr>
      </w:pPr>
      <w:r w:rsidRPr="00BB1551">
        <w:rPr>
          <w:rFonts w:ascii="Times New Roman" w:hAnsi="Times New Roman" w:cs="Times New Roman"/>
          <w:i/>
          <w:iCs/>
          <w:sz w:val="24"/>
          <w:szCs w:val="24"/>
        </w:rPr>
        <w:t>Las personas con discapacidad, así como la población indígena en el sector ocupado reciben ingresos mucho menores que el resto de la población, incluso con una escolaridad y posición ocupacional similar.</w:t>
      </w:r>
      <w:r w:rsidRPr="00BB1551">
        <w:rPr>
          <w:rFonts w:ascii="Times New Roman" w:hAnsi="Times New Roman" w:cs="Times New Roman"/>
          <w:sz w:val="24"/>
          <w:szCs w:val="24"/>
        </w:rPr>
        <w:t xml:space="preserve"> </w:t>
      </w:r>
      <w:r w:rsidRPr="00BB1551">
        <w:rPr>
          <w:rFonts w:ascii="Times New Roman" w:hAnsi="Times New Roman" w:cs="Times New Roman"/>
          <w:sz w:val="24"/>
          <w:szCs w:val="24"/>
        </w:rPr>
        <w:t>Por el solo hecho de tener una discapacidad, las personas con esta condición ganan en México un 6.6 por ciento menos en comparación con quienes no pertenecen a este grupo.</w:t>
      </w:r>
      <w:r w:rsidRPr="00BB1551">
        <w:rPr>
          <w:rFonts w:ascii="Times New Roman" w:hAnsi="Times New Roman" w:cs="Times New Roman"/>
          <w:sz w:val="24"/>
          <w:szCs w:val="24"/>
        </w:rPr>
        <w:t xml:space="preserve"> </w:t>
      </w:r>
    </w:p>
    <w:p w14:paraId="46A8D390" w14:textId="77777777" w:rsidR="00CC488B" w:rsidRPr="00BB1551" w:rsidRDefault="00353789" w:rsidP="00BB1551">
      <w:pPr>
        <w:spacing w:line="360" w:lineRule="auto"/>
        <w:rPr>
          <w:rFonts w:ascii="Times New Roman" w:hAnsi="Times New Roman" w:cs="Times New Roman"/>
          <w:sz w:val="24"/>
          <w:szCs w:val="24"/>
        </w:rPr>
      </w:pPr>
      <w:r w:rsidRPr="00BB1551">
        <w:rPr>
          <w:rFonts w:ascii="Times New Roman" w:hAnsi="Times New Roman" w:cs="Times New Roman"/>
          <w:b/>
          <w:bCs/>
          <w:sz w:val="24"/>
          <w:szCs w:val="24"/>
        </w:rPr>
        <w:t xml:space="preserve">Trabajo de </w:t>
      </w:r>
      <w:r w:rsidRPr="00BB1551">
        <w:rPr>
          <w:rFonts w:ascii="Times New Roman" w:hAnsi="Times New Roman" w:cs="Times New Roman"/>
          <w:b/>
          <w:bCs/>
          <w:sz w:val="24"/>
          <w:szCs w:val="24"/>
        </w:rPr>
        <w:t>los indígenas</w:t>
      </w:r>
      <w:r w:rsidRPr="00BB1551">
        <w:rPr>
          <w:rFonts w:ascii="Times New Roman" w:hAnsi="Times New Roman" w:cs="Times New Roman"/>
          <w:sz w:val="24"/>
          <w:szCs w:val="24"/>
        </w:rPr>
        <w:t xml:space="preserve">: </w:t>
      </w:r>
      <w:r w:rsidRPr="00BB1551">
        <w:rPr>
          <w:rFonts w:ascii="Times New Roman" w:hAnsi="Times New Roman" w:cs="Times New Roman"/>
          <w:sz w:val="24"/>
          <w:szCs w:val="24"/>
        </w:rPr>
        <w:t>Los indígenas son señalados por su apariencia y lengua, consiguiendo solo trabajos como albañiles, vendedores ambulantes, personal de limpieza, servicios de algún mercado, transporte, fabricación, sector agrícola o si tienen suerte entrar a alguna empresa.</w:t>
      </w:r>
      <w:r w:rsidRPr="00BB1551">
        <w:rPr>
          <w:rFonts w:ascii="Times New Roman" w:hAnsi="Times New Roman" w:cs="Times New Roman"/>
          <w:sz w:val="24"/>
          <w:szCs w:val="24"/>
        </w:rPr>
        <w:t xml:space="preserve"> </w:t>
      </w:r>
    </w:p>
    <w:p w14:paraId="2E8BB4B3" w14:textId="07D30D10" w:rsidR="005C6AE0" w:rsidRPr="00BB1551" w:rsidRDefault="00353789" w:rsidP="00BB1551">
      <w:pPr>
        <w:spacing w:line="360" w:lineRule="auto"/>
        <w:rPr>
          <w:rFonts w:ascii="Times New Roman" w:hAnsi="Times New Roman" w:cs="Times New Roman"/>
          <w:sz w:val="24"/>
          <w:szCs w:val="24"/>
        </w:rPr>
      </w:pPr>
      <w:r w:rsidRPr="00BB1551">
        <w:rPr>
          <w:rFonts w:ascii="Times New Roman" w:hAnsi="Times New Roman" w:cs="Times New Roman"/>
          <w:b/>
          <w:bCs/>
          <w:sz w:val="24"/>
          <w:szCs w:val="24"/>
        </w:rPr>
        <w:t>Sueldo de los indígenas</w:t>
      </w:r>
      <w:r w:rsidRPr="00BB1551">
        <w:rPr>
          <w:rFonts w:ascii="Times New Roman" w:hAnsi="Times New Roman" w:cs="Times New Roman"/>
          <w:b/>
          <w:bCs/>
          <w:sz w:val="24"/>
          <w:szCs w:val="24"/>
        </w:rPr>
        <w:t>:</w:t>
      </w:r>
      <w:r w:rsidRPr="00BB1551">
        <w:rPr>
          <w:rFonts w:ascii="Times New Roman" w:hAnsi="Times New Roman" w:cs="Times New Roman"/>
          <w:sz w:val="24"/>
          <w:szCs w:val="24"/>
        </w:rPr>
        <w:t xml:space="preserve"> </w:t>
      </w:r>
      <w:r w:rsidRPr="00BB1551">
        <w:rPr>
          <w:rFonts w:ascii="Times New Roman" w:hAnsi="Times New Roman" w:cs="Times New Roman"/>
          <w:sz w:val="24"/>
          <w:szCs w:val="24"/>
        </w:rPr>
        <w:t>La población indígena gana 33 pesos por cada 100 pesos que le pagan a alguien no indígena. Las mujeres indígenas, pues ellas reciben en promedio sólo 26 de cada 100 pesos que se le pagaría a una persona no indígena, el 85% de esa población se encuentra en la informalidad.</w:t>
      </w:r>
      <w:r w:rsidRPr="00BB1551">
        <w:rPr>
          <w:rFonts w:ascii="Times New Roman" w:hAnsi="Times New Roman" w:cs="Times New Roman"/>
          <w:sz w:val="24"/>
          <w:szCs w:val="24"/>
        </w:rPr>
        <w:t xml:space="preserve"> </w:t>
      </w:r>
      <w:r w:rsidRPr="00BB1551">
        <w:rPr>
          <w:rFonts w:ascii="Times New Roman" w:hAnsi="Times New Roman" w:cs="Times New Roman"/>
          <w:sz w:val="24"/>
          <w:szCs w:val="24"/>
        </w:rPr>
        <w:t>En México, de acuerdo con el Censo 2020, 6.2 por ciento de la población tiene alguna discapacidad y 10.9 por ciento tiene alguna limitación, ambas condiciones son más frecuentes en personas mayores de 60 años.</w:t>
      </w:r>
    </w:p>
    <w:p w14:paraId="767C06FA" w14:textId="27452037" w:rsidR="00353789" w:rsidRPr="00BB1551" w:rsidRDefault="00353789" w:rsidP="00BB1551">
      <w:pPr>
        <w:spacing w:line="360" w:lineRule="auto"/>
        <w:rPr>
          <w:rFonts w:ascii="Times New Roman" w:hAnsi="Times New Roman" w:cs="Times New Roman"/>
          <w:sz w:val="24"/>
          <w:szCs w:val="24"/>
        </w:rPr>
      </w:pPr>
      <w:r w:rsidRPr="00BB1551">
        <w:rPr>
          <w:rFonts w:ascii="Times New Roman" w:hAnsi="Times New Roman" w:cs="Times New Roman"/>
          <w:i/>
          <w:iCs/>
          <w:sz w:val="24"/>
          <w:szCs w:val="24"/>
        </w:rPr>
        <w:t>La brecha salarial de género persiste</w:t>
      </w:r>
      <w:r w:rsidRPr="00BB1551">
        <w:rPr>
          <w:rFonts w:ascii="Times New Roman" w:hAnsi="Times New Roman" w:cs="Times New Roman"/>
          <w:sz w:val="24"/>
          <w:szCs w:val="24"/>
        </w:rPr>
        <w:t xml:space="preserve">, con posiciones ocupacionales y escolaridad similares; los hombres reciben en promedio un ingreso laboral por hora trabajada 34.2% </w:t>
      </w:r>
      <w:r w:rsidRPr="00BB1551">
        <w:rPr>
          <w:rFonts w:ascii="Times New Roman" w:hAnsi="Times New Roman" w:cs="Times New Roman"/>
          <w:b/>
          <w:bCs/>
          <w:sz w:val="24"/>
          <w:szCs w:val="24"/>
        </w:rPr>
        <w:t>mayor al de las mujeres</w:t>
      </w:r>
      <w:r w:rsidRPr="00BB1551">
        <w:rPr>
          <w:rFonts w:ascii="Times New Roman" w:hAnsi="Times New Roman" w:cs="Times New Roman"/>
          <w:sz w:val="24"/>
          <w:szCs w:val="24"/>
        </w:rPr>
        <w:t xml:space="preserve">. </w:t>
      </w:r>
      <w:r w:rsidRPr="00BB1551">
        <w:rPr>
          <w:rFonts w:ascii="Times New Roman" w:hAnsi="Times New Roman" w:cs="Times New Roman"/>
          <w:sz w:val="24"/>
          <w:szCs w:val="24"/>
        </w:rPr>
        <w:t>Las mujeres que participan en la economía en promedio obtienen ingresos laborales menores que los hombres, y la diferencia es más amplia en los sectores en donde se concentran más mujeres</w:t>
      </w:r>
      <w:r w:rsidRPr="00BB1551">
        <w:rPr>
          <w:rFonts w:ascii="Times New Roman" w:hAnsi="Times New Roman" w:cs="Times New Roman"/>
          <w:sz w:val="24"/>
          <w:szCs w:val="24"/>
        </w:rPr>
        <w:t xml:space="preserve">. </w:t>
      </w:r>
      <w:r w:rsidRPr="00BB1551">
        <w:rPr>
          <w:rFonts w:ascii="Times New Roman" w:hAnsi="Times New Roman" w:cs="Times New Roman"/>
          <w:sz w:val="24"/>
          <w:szCs w:val="24"/>
        </w:rPr>
        <w:t>Ofrecen información diferenciada por sexo para conocer la evolución del mercado laboral, usando registros de empleos formales, Encuesta Nacional de Ocupación y Empleo trimestral del INEG</w:t>
      </w:r>
      <w:r w:rsidRPr="00BB1551">
        <w:rPr>
          <w:rFonts w:ascii="Times New Roman" w:hAnsi="Times New Roman" w:cs="Times New Roman"/>
          <w:sz w:val="24"/>
          <w:szCs w:val="24"/>
        </w:rPr>
        <w:t xml:space="preserve">I. </w:t>
      </w:r>
    </w:p>
    <w:p w14:paraId="2B85BC15" w14:textId="718A33E7" w:rsidR="00353789" w:rsidRPr="00BB1551" w:rsidRDefault="004136DF" w:rsidP="00BB1551">
      <w:pPr>
        <w:spacing w:line="360" w:lineRule="auto"/>
        <w:rPr>
          <w:rFonts w:ascii="Times New Roman" w:hAnsi="Times New Roman" w:cs="Times New Roman"/>
          <w:sz w:val="24"/>
          <w:szCs w:val="24"/>
        </w:rPr>
      </w:pPr>
      <w:r w:rsidRPr="00BB1551">
        <w:rPr>
          <w:rFonts w:ascii="Times New Roman" w:hAnsi="Times New Roman" w:cs="Times New Roman"/>
          <w:i/>
          <w:iCs/>
          <w:sz w:val="24"/>
          <w:szCs w:val="24"/>
        </w:rPr>
        <w:t>La barrera cultural y lingüística se profundiza cada vez más para los jóvenes indígenas que aspiran cursar una licenciatura</w:t>
      </w:r>
      <w:r w:rsidRPr="00BB1551">
        <w:rPr>
          <w:rFonts w:ascii="Times New Roman" w:hAnsi="Times New Roman" w:cs="Times New Roman"/>
          <w:sz w:val="24"/>
          <w:szCs w:val="24"/>
        </w:rPr>
        <w:t xml:space="preserve"> que ofertan las universidades públicas, mientras que las escuelas privadas mantienen colegiaturas </w:t>
      </w:r>
      <w:r w:rsidRPr="00BB1551">
        <w:rPr>
          <w:rFonts w:ascii="Times New Roman" w:hAnsi="Times New Roman" w:cs="Times New Roman"/>
          <w:b/>
          <w:bCs/>
          <w:sz w:val="24"/>
          <w:szCs w:val="24"/>
        </w:rPr>
        <w:t>inalcanzables para los pueblos y comunidades indígenas</w:t>
      </w:r>
      <w:r w:rsidRPr="00BB1551">
        <w:rPr>
          <w:rFonts w:ascii="Times New Roman" w:hAnsi="Times New Roman" w:cs="Times New Roman"/>
          <w:sz w:val="24"/>
          <w:szCs w:val="24"/>
        </w:rPr>
        <w:t>.</w:t>
      </w:r>
      <w:r w:rsidRPr="00BB1551">
        <w:rPr>
          <w:rFonts w:ascii="Times New Roman" w:hAnsi="Times New Roman" w:cs="Times New Roman"/>
          <w:sz w:val="24"/>
          <w:szCs w:val="24"/>
        </w:rPr>
        <w:t xml:space="preserve"> L</w:t>
      </w:r>
      <w:r w:rsidRPr="00BB1551">
        <w:rPr>
          <w:rFonts w:ascii="Times New Roman" w:hAnsi="Times New Roman" w:cs="Times New Roman"/>
          <w:sz w:val="24"/>
          <w:szCs w:val="24"/>
        </w:rPr>
        <w:t>os hablantes de lengua indígena tienen en promedio seis grados de escolaridad (equivalentes a primaria completa) en tanto que la población no indígena tiene 9.6 años (primer año de media superior)</w:t>
      </w:r>
      <w:r w:rsidRPr="00BB1551">
        <w:rPr>
          <w:rFonts w:ascii="Times New Roman" w:hAnsi="Times New Roman" w:cs="Times New Roman"/>
          <w:sz w:val="24"/>
          <w:szCs w:val="24"/>
        </w:rPr>
        <w:t>. Las b</w:t>
      </w:r>
      <w:r w:rsidRPr="00BB1551">
        <w:rPr>
          <w:rFonts w:ascii="Times New Roman" w:hAnsi="Times New Roman" w:cs="Times New Roman"/>
          <w:sz w:val="24"/>
          <w:szCs w:val="24"/>
        </w:rPr>
        <w:t xml:space="preserve">arreras para acceder a la educación </w:t>
      </w:r>
      <w:r w:rsidRPr="00BB1551">
        <w:rPr>
          <w:rFonts w:ascii="Times New Roman" w:hAnsi="Times New Roman" w:cs="Times New Roman"/>
          <w:sz w:val="24"/>
          <w:szCs w:val="24"/>
        </w:rPr>
        <w:t>superior son</w:t>
      </w:r>
      <w:r w:rsidRPr="00BB1551">
        <w:rPr>
          <w:rFonts w:ascii="Times New Roman" w:hAnsi="Times New Roman" w:cs="Times New Roman"/>
          <w:sz w:val="24"/>
          <w:szCs w:val="24"/>
        </w:rPr>
        <w:t xml:space="preserve"> </w:t>
      </w:r>
      <w:r w:rsidRPr="00BB1551">
        <w:rPr>
          <w:rFonts w:ascii="Times New Roman" w:hAnsi="Times New Roman" w:cs="Times New Roman"/>
          <w:b/>
          <w:bCs/>
          <w:sz w:val="24"/>
          <w:szCs w:val="24"/>
        </w:rPr>
        <w:t>cinco áreas interrelacionadas</w:t>
      </w:r>
      <w:r w:rsidRPr="00BB1551">
        <w:rPr>
          <w:rFonts w:ascii="Times New Roman" w:hAnsi="Times New Roman" w:cs="Times New Roman"/>
          <w:sz w:val="24"/>
          <w:szCs w:val="24"/>
        </w:rPr>
        <w:t xml:space="preserve">: </w:t>
      </w:r>
      <w:r w:rsidRPr="00BB1551">
        <w:rPr>
          <w:rFonts w:ascii="Times New Roman" w:hAnsi="Times New Roman" w:cs="Times New Roman"/>
          <w:sz w:val="24"/>
          <w:szCs w:val="24"/>
        </w:rPr>
        <w:lastRenderedPageBreak/>
        <w:t>brecha geográfica</w:t>
      </w:r>
      <w:r w:rsidRPr="00BB1551">
        <w:rPr>
          <w:rFonts w:ascii="Times New Roman" w:hAnsi="Times New Roman" w:cs="Times New Roman"/>
          <w:sz w:val="24"/>
          <w:szCs w:val="24"/>
        </w:rPr>
        <w:t>,</w:t>
      </w:r>
      <w:r w:rsidRPr="00BB1551">
        <w:rPr>
          <w:rFonts w:ascii="Times New Roman" w:hAnsi="Times New Roman" w:cs="Times New Roman"/>
          <w:sz w:val="24"/>
          <w:szCs w:val="24"/>
        </w:rPr>
        <w:t xml:space="preserve"> barreras culturales</w:t>
      </w:r>
      <w:r w:rsidRPr="00BB1551">
        <w:rPr>
          <w:rFonts w:ascii="Times New Roman" w:hAnsi="Times New Roman" w:cs="Times New Roman"/>
          <w:sz w:val="24"/>
          <w:szCs w:val="24"/>
        </w:rPr>
        <w:t>,</w:t>
      </w:r>
      <w:r w:rsidRPr="00BB1551">
        <w:rPr>
          <w:rFonts w:ascii="Times New Roman" w:hAnsi="Times New Roman" w:cs="Times New Roman"/>
          <w:sz w:val="24"/>
          <w:szCs w:val="24"/>
        </w:rPr>
        <w:t xml:space="preserve"> barreras económicas</w:t>
      </w:r>
      <w:r w:rsidRPr="00BB1551">
        <w:rPr>
          <w:rFonts w:ascii="Times New Roman" w:hAnsi="Times New Roman" w:cs="Times New Roman"/>
          <w:sz w:val="24"/>
          <w:szCs w:val="24"/>
        </w:rPr>
        <w:t>,</w:t>
      </w:r>
      <w:r w:rsidRPr="00BB1551">
        <w:rPr>
          <w:rFonts w:ascii="Times New Roman" w:hAnsi="Times New Roman" w:cs="Times New Roman"/>
          <w:sz w:val="24"/>
          <w:szCs w:val="24"/>
        </w:rPr>
        <w:t xml:space="preserve"> calidad educativa y oportunidades limitadas factores discriminatorios.</w:t>
      </w:r>
    </w:p>
    <w:p w14:paraId="7FDAF6B8" w14:textId="39B8BF2B" w:rsidR="004136DF" w:rsidRPr="00BB1551" w:rsidRDefault="004136DF" w:rsidP="00BB1551">
      <w:pPr>
        <w:spacing w:line="360" w:lineRule="auto"/>
        <w:rPr>
          <w:rFonts w:ascii="Times New Roman" w:hAnsi="Times New Roman" w:cs="Times New Roman"/>
          <w:sz w:val="24"/>
          <w:szCs w:val="24"/>
        </w:rPr>
      </w:pPr>
      <w:r w:rsidRPr="00BB1551">
        <w:rPr>
          <w:rFonts w:ascii="Times New Roman" w:hAnsi="Times New Roman" w:cs="Times New Roman"/>
          <w:i/>
          <w:iCs/>
          <w:sz w:val="24"/>
          <w:szCs w:val="24"/>
        </w:rPr>
        <w:t>L</w:t>
      </w:r>
      <w:r w:rsidRPr="00BB1551">
        <w:rPr>
          <w:rFonts w:ascii="Times New Roman" w:hAnsi="Times New Roman" w:cs="Times New Roman"/>
          <w:i/>
          <w:iCs/>
          <w:sz w:val="24"/>
          <w:szCs w:val="24"/>
        </w:rPr>
        <w:t xml:space="preserve">as ocupaciones de las personas </w:t>
      </w:r>
      <w:r w:rsidRPr="00BB1551">
        <w:rPr>
          <w:rFonts w:ascii="Times New Roman" w:hAnsi="Times New Roman" w:cs="Times New Roman"/>
          <w:i/>
          <w:iCs/>
          <w:sz w:val="24"/>
          <w:szCs w:val="24"/>
        </w:rPr>
        <w:t>indígenas</w:t>
      </w:r>
      <w:r w:rsidRPr="00BB1551">
        <w:rPr>
          <w:rFonts w:ascii="Times New Roman" w:hAnsi="Times New Roman" w:cs="Times New Roman"/>
          <w:i/>
          <w:iCs/>
          <w:sz w:val="24"/>
          <w:szCs w:val="24"/>
        </w:rPr>
        <w:t xml:space="preserve"> tienden a ser se menor jerarquía y concentrarse en el sector informal y el trabajo </w:t>
      </w:r>
      <w:r w:rsidRPr="00BB1551">
        <w:rPr>
          <w:rFonts w:ascii="Times New Roman" w:hAnsi="Times New Roman" w:cs="Times New Roman"/>
          <w:i/>
          <w:iCs/>
          <w:sz w:val="24"/>
          <w:szCs w:val="24"/>
        </w:rPr>
        <w:t>agrícola.</w:t>
      </w:r>
      <w:r w:rsidRPr="00BB1551">
        <w:rPr>
          <w:rFonts w:ascii="Times New Roman" w:hAnsi="Times New Roman" w:cs="Times New Roman"/>
          <w:sz w:val="24"/>
          <w:szCs w:val="24"/>
        </w:rPr>
        <w:t xml:space="preserve"> </w:t>
      </w:r>
      <w:r w:rsidRPr="00BB1551">
        <w:rPr>
          <w:rFonts w:ascii="Times New Roman" w:hAnsi="Times New Roman" w:cs="Times New Roman"/>
          <w:sz w:val="24"/>
          <w:szCs w:val="24"/>
        </w:rPr>
        <w:t xml:space="preserve">Para las personas que integran los pueblos y comunidades indígenas hay espacios específicos en donde la protección de su derecho humano al trabajo </w:t>
      </w:r>
      <w:r w:rsidRPr="00BB1551">
        <w:rPr>
          <w:rFonts w:ascii="Times New Roman" w:hAnsi="Times New Roman" w:cs="Times New Roman"/>
          <w:b/>
          <w:bCs/>
          <w:sz w:val="24"/>
          <w:szCs w:val="24"/>
        </w:rPr>
        <w:t>no se ha logrado garantizar a plenitud</w:t>
      </w:r>
      <w:r w:rsidRPr="00BB1551">
        <w:rPr>
          <w:rFonts w:ascii="Times New Roman" w:hAnsi="Times New Roman" w:cs="Times New Roman"/>
          <w:sz w:val="24"/>
          <w:szCs w:val="24"/>
        </w:rPr>
        <w:t xml:space="preserve">. </w:t>
      </w:r>
      <w:r w:rsidRPr="00BB1551">
        <w:rPr>
          <w:rFonts w:ascii="Times New Roman" w:hAnsi="Times New Roman" w:cs="Times New Roman"/>
          <w:sz w:val="24"/>
          <w:szCs w:val="24"/>
        </w:rPr>
        <w:t>A partir del último cuarto del siglo pasado en el medio rural mexicano se redujo la inversión pública y el fomento de las actividades primarias, sobre todo en las regiones indígenas; atentando con la agricultura y sus cultivos comerciales</w:t>
      </w:r>
      <w:r w:rsidRPr="00BB1551">
        <w:rPr>
          <w:rFonts w:ascii="Times New Roman" w:hAnsi="Times New Roman" w:cs="Times New Roman"/>
          <w:sz w:val="24"/>
          <w:szCs w:val="24"/>
        </w:rPr>
        <w:t xml:space="preserve">. </w:t>
      </w:r>
      <w:r w:rsidRPr="00BB1551">
        <w:rPr>
          <w:rFonts w:ascii="Times New Roman" w:hAnsi="Times New Roman" w:cs="Times New Roman"/>
          <w:sz w:val="24"/>
          <w:szCs w:val="24"/>
        </w:rPr>
        <w:t>En las zonas rurales, donde predominan las actividades agropecuarias, la incorporación de la población masculina a la actividad económica es temprana y el retiro es en edades avanzadas porque trabajan hasta que alguna incapacidad se los impide o hasta la muerte</w:t>
      </w:r>
      <w:r w:rsidR="00CC488B" w:rsidRPr="00BB1551">
        <w:rPr>
          <w:rFonts w:ascii="Times New Roman" w:hAnsi="Times New Roman" w:cs="Times New Roman"/>
          <w:sz w:val="24"/>
          <w:szCs w:val="24"/>
        </w:rPr>
        <w:t>.</w:t>
      </w:r>
    </w:p>
    <w:p w14:paraId="24F06A10" w14:textId="30CF5FB6" w:rsidR="00BB1551" w:rsidRDefault="00CC488B" w:rsidP="00BB1551">
      <w:pPr>
        <w:spacing w:line="360" w:lineRule="auto"/>
        <w:rPr>
          <w:rFonts w:ascii="Times New Roman" w:hAnsi="Times New Roman" w:cs="Times New Roman"/>
          <w:sz w:val="24"/>
          <w:szCs w:val="24"/>
        </w:rPr>
      </w:pPr>
      <w:r w:rsidRPr="00BB1551">
        <w:rPr>
          <w:rFonts w:ascii="Times New Roman" w:hAnsi="Times New Roman" w:cs="Times New Roman"/>
          <w:sz w:val="24"/>
          <w:szCs w:val="24"/>
        </w:rPr>
        <w:t xml:space="preserve">Reflexión: </w:t>
      </w:r>
      <w:r w:rsidRPr="00BB1551">
        <w:rPr>
          <w:rFonts w:ascii="Times New Roman" w:hAnsi="Times New Roman" w:cs="Times New Roman"/>
          <w:sz w:val="24"/>
          <w:szCs w:val="24"/>
        </w:rPr>
        <w:t>La diversidad es la capacidad de reconocer que todos tenemos características, intereses, y necesidades distintas, aunque somos diferentes tenemos los mismos derechos y el contexto debería asegurar que participáramos en igualdad de condiciones.</w:t>
      </w:r>
      <w:r w:rsidRPr="00BB1551">
        <w:rPr>
          <w:rFonts w:ascii="Times New Roman" w:hAnsi="Times New Roman" w:cs="Times New Roman"/>
          <w:sz w:val="24"/>
          <w:szCs w:val="24"/>
        </w:rPr>
        <w:t xml:space="preserve"> </w:t>
      </w:r>
      <w:r w:rsidRPr="00BB1551">
        <w:rPr>
          <w:rFonts w:ascii="Times New Roman" w:hAnsi="Times New Roman" w:cs="Times New Roman"/>
          <w:sz w:val="24"/>
          <w:szCs w:val="24"/>
        </w:rPr>
        <w:t xml:space="preserve">Es por ello </w:t>
      </w:r>
      <w:r w:rsidRPr="00BB1551">
        <w:rPr>
          <w:rFonts w:ascii="Times New Roman" w:hAnsi="Times New Roman" w:cs="Times New Roman"/>
          <w:sz w:val="24"/>
          <w:szCs w:val="24"/>
        </w:rPr>
        <w:t>por lo que</w:t>
      </w:r>
      <w:r w:rsidRPr="00BB1551">
        <w:rPr>
          <w:rFonts w:ascii="Times New Roman" w:hAnsi="Times New Roman" w:cs="Times New Roman"/>
          <w:sz w:val="24"/>
          <w:szCs w:val="24"/>
        </w:rPr>
        <w:t xml:space="preserve"> debe ser importante desarrollar estrategias para el mejoramiento de la inclusión de diversidades, dejando a un lado la segregación.</w:t>
      </w:r>
      <w:r w:rsidRPr="00BB1551">
        <w:rPr>
          <w:rFonts w:ascii="Times New Roman" w:hAnsi="Times New Roman" w:cs="Times New Roman"/>
          <w:sz w:val="24"/>
          <w:szCs w:val="24"/>
        </w:rPr>
        <w:t xml:space="preserve"> </w:t>
      </w:r>
      <w:r w:rsidRPr="00BB1551">
        <w:rPr>
          <w:rFonts w:ascii="Times New Roman" w:hAnsi="Times New Roman" w:cs="Times New Roman"/>
          <w:sz w:val="24"/>
          <w:szCs w:val="24"/>
        </w:rPr>
        <w:t>Incluso acciones pequeñas son las que hacen el cambio, desde el trato hacia las personas, cosas tan importantes como los valores son lo primero que pasamos por alto, la moral es algo el ser humano construye en el trayecto de su vida, es por eso que como educadores es posible generar un cambio en el pensamiento</w:t>
      </w:r>
      <w:r w:rsidRPr="00BB1551">
        <w:rPr>
          <w:sz w:val="24"/>
          <w:szCs w:val="24"/>
        </w:rPr>
        <w:t xml:space="preserve"> </w:t>
      </w:r>
      <w:r w:rsidRPr="00BB1551">
        <w:rPr>
          <w:rFonts w:ascii="Times New Roman" w:hAnsi="Times New Roman" w:cs="Times New Roman"/>
          <w:sz w:val="24"/>
          <w:szCs w:val="24"/>
        </w:rPr>
        <w:t>de futuras generaciones, cuyas mentalidades pueden ser fácilmente afectadas por lo que el mundo externo y material puede cambiar</w:t>
      </w:r>
      <w:r w:rsidRPr="00BB1551">
        <w:rPr>
          <w:rFonts w:ascii="Times New Roman" w:hAnsi="Times New Roman" w:cs="Times New Roman"/>
          <w:sz w:val="24"/>
          <w:szCs w:val="24"/>
        </w:rPr>
        <w:t>; e</w:t>
      </w:r>
      <w:r w:rsidRPr="00BB1551">
        <w:rPr>
          <w:rFonts w:ascii="Times New Roman" w:hAnsi="Times New Roman" w:cs="Times New Roman"/>
          <w:sz w:val="24"/>
          <w:szCs w:val="24"/>
        </w:rPr>
        <w:t>nriquecer el conocimiento con educación de calidad, el acceso a la educación, una permanencia en la escuela y logros óptimos de aprendizajes son las principales fuentes de mejora, si se complementan mejoras incluyentes podría haber un ascenso de comunidad a la mejoría de quiénes la integran</w:t>
      </w:r>
      <w:r w:rsidRPr="00BB1551">
        <w:rPr>
          <w:rFonts w:ascii="Times New Roman" w:hAnsi="Times New Roman" w:cs="Times New Roman"/>
          <w:sz w:val="24"/>
          <w:szCs w:val="24"/>
        </w:rPr>
        <w:t xml:space="preserve">. </w:t>
      </w:r>
      <w:r w:rsidR="00BB1551" w:rsidRPr="00F3562F">
        <w:rPr>
          <w:rFonts w:ascii="Times New Roman" w:hAnsi="Times New Roman" w:cs="Times New Roman"/>
          <w:sz w:val="24"/>
          <w:szCs w:val="24"/>
        </w:rPr>
        <w:t xml:space="preserve">Las prácticas docentes construyen capacidades que en un futuro podrán servir de apoyo para comprender dificultades que se </w:t>
      </w:r>
      <w:r w:rsidR="00BB1551" w:rsidRPr="00F3562F">
        <w:rPr>
          <w:rFonts w:ascii="Times New Roman" w:hAnsi="Times New Roman" w:cs="Times New Roman"/>
          <w:sz w:val="24"/>
          <w:szCs w:val="24"/>
        </w:rPr>
        <w:t>llegarán</w:t>
      </w:r>
      <w:r w:rsidR="00BB1551" w:rsidRPr="00F3562F">
        <w:rPr>
          <w:rFonts w:ascii="Times New Roman" w:hAnsi="Times New Roman" w:cs="Times New Roman"/>
          <w:sz w:val="24"/>
          <w:szCs w:val="24"/>
        </w:rPr>
        <w:t xml:space="preserve"> a presentar</w:t>
      </w:r>
      <w:r w:rsidR="00BB1551">
        <w:rPr>
          <w:rFonts w:ascii="Times New Roman" w:hAnsi="Times New Roman" w:cs="Times New Roman"/>
          <w:sz w:val="24"/>
          <w:szCs w:val="24"/>
        </w:rPr>
        <w:t>.</w:t>
      </w:r>
    </w:p>
    <w:p w14:paraId="0E5425F2" w14:textId="77777777" w:rsidR="00BB1551" w:rsidRPr="00BB1551" w:rsidRDefault="00BB1551" w:rsidP="00CC488B">
      <w:pPr>
        <w:rPr>
          <w:rFonts w:ascii="Times New Roman" w:hAnsi="Times New Roman" w:cs="Times New Roman"/>
          <w:sz w:val="24"/>
          <w:szCs w:val="24"/>
        </w:rPr>
      </w:pPr>
    </w:p>
    <w:sectPr w:rsidR="00BB1551" w:rsidRPr="00BB1551" w:rsidSect="004B30DF">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89"/>
    <w:rsid w:val="00353789"/>
    <w:rsid w:val="004136DF"/>
    <w:rsid w:val="004B30DF"/>
    <w:rsid w:val="005C6AE0"/>
    <w:rsid w:val="00773570"/>
    <w:rsid w:val="00BB1551"/>
    <w:rsid w:val="00CC488B"/>
    <w:rsid w:val="00E30678"/>
    <w:rsid w:val="00F33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7B48C"/>
  <w15:chartTrackingRefBased/>
  <w15:docId w15:val="{80F58F5A-6888-49C2-99E4-3BAD916B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2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756</Words>
  <Characters>4161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BRICIA FERNANDA GONZALEZ GONZALEZ</dc:creator>
  <cp:keywords/>
  <dc:description/>
  <cp:lastModifiedBy>BRICIA FERNANDA GONZALEZ GONZALEZ</cp:lastModifiedBy>
  <cp:revision>1</cp:revision>
  <dcterms:created xsi:type="dcterms:W3CDTF">2023-09-26T19:47:00Z</dcterms:created>
  <dcterms:modified xsi:type="dcterms:W3CDTF">2023-09-26T21:03:00Z</dcterms:modified>
</cp:coreProperties>
</file>